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159C4F6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ED7968" w:rsidRDefault="00ED796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ED7968" w:rsidRDefault="00ED796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1B97E0B" w:rsidR="00ED7968" w:rsidRPr="004E2649" w:rsidRDefault="00ED796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FD2779">
                              <w:rPr>
                                <w:rFonts w:asciiTheme="majorHAnsi" w:hAnsiTheme="majorHAnsi" w:cs="Arial"/>
                                <w:b/>
                                <w:bCs/>
                                <w:color w:val="0D0D0D" w:themeColor="text1" w:themeTint="F2"/>
                                <w:sz w:val="36"/>
                                <w:szCs w:val="22"/>
                                <w:lang w:val="es-ES_tradnl"/>
                              </w:rPr>
                              <w:t xml:space="preserve"> 106</w:t>
                            </w:r>
                            <w:r>
                              <w:rPr>
                                <w:rFonts w:asciiTheme="majorHAnsi" w:hAnsiTheme="majorHAnsi" w:cs="Arial"/>
                                <w:b/>
                                <w:bCs/>
                                <w:color w:val="0D0D0D" w:themeColor="text1" w:themeTint="F2"/>
                                <w:sz w:val="36"/>
                                <w:szCs w:val="22"/>
                                <w:lang w:val="es-ES_tradnl"/>
                              </w:rPr>
                              <w:t>/</w:t>
                            </w:r>
                            <w:r w:rsidR="000F6BCE">
                              <w:rPr>
                                <w:rFonts w:asciiTheme="majorHAnsi" w:hAnsiTheme="majorHAnsi" w:cs="Arial"/>
                                <w:b/>
                                <w:bCs/>
                                <w:color w:val="0D0D0D" w:themeColor="text1" w:themeTint="F2"/>
                                <w:sz w:val="36"/>
                                <w:szCs w:val="22"/>
                                <w:lang w:val="es-ES_tradnl"/>
                              </w:rPr>
                              <w:t>20</w:t>
                            </w:r>
                          </w:p>
                          <w:p w14:paraId="09C54AB3" w14:textId="49927A7E" w:rsidR="00ED7968" w:rsidRDefault="00ED796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993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77B96D47" w:rsidR="00ED7968" w:rsidRPr="0010736F" w:rsidRDefault="00ED796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ADMISIBILIDAD</w:t>
                            </w:r>
                          </w:p>
                          <w:p w14:paraId="5FDD6F0D" w14:textId="77777777" w:rsidR="00ED7968" w:rsidRPr="0010736F" w:rsidRDefault="00ED7968"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637B9A1" w:rsidR="00ED7968" w:rsidRPr="0010736F" w:rsidRDefault="00ED796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 V. L. B</w:t>
                            </w:r>
                          </w:p>
                          <w:bookmarkEnd w:id="1"/>
                          <w:p w14:paraId="35068D0D" w14:textId="0665B8E2" w:rsidR="00ED7968" w:rsidRPr="0010736F" w:rsidRDefault="00ED796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ED7968" w:rsidRPr="00AE5488" w:rsidRDefault="00ED796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1B97E0B" w:rsidR="00ED7968" w:rsidRPr="004E2649" w:rsidRDefault="00ED796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FD2779">
                        <w:rPr>
                          <w:rFonts w:asciiTheme="majorHAnsi" w:hAnsiTheme="majorHAnsi" w:cs="Arial"/>
                          <w:b/>
                          <w:bCs/>
                          <w:color w:val="0D0D0D" w:themeColor="text1" w:themeTint="F2"/>
                          <w:sz w:val="36"/>
                          <w:szCs w:val="22"/>
                          <w:lang w:val="es-ES_tradnl"/>
                        </w:rPr>
                        <w:t xml:space="preserve"> 106</w:t>
                      </w:r>
                      <w:r>
                        <w:rPr>
                          <w:rFonts w:asciiTheme="majorHAnsi" w:hAnsiTheme="majorHAnsi" w:cs="Arial"/>
                          <w:b/>
                          <w:bCs/>
                          <w:color w:val="0D0D0D" w:themeColor="text1" w:themeTint="F2"/>
                          <w:sz w:val="36"/>
                          <w:szCs w:val="22"/>
                          <w:lang w:val="es-ES_tradnl"/>
                        </w:rPr>
                        <w:t>/</w:t>
                      </w:r>
                      <w:r w:rsidR="000F6BCE">
                        <w:rPr>
                          <w:rFonts w:asciiTheme="majorHAnsi" w:hAnsiTheme="majorHAnsi" w:cs="Arial"/>
                          <w:b/>
                          <w:bCs/>
                          <w:color w:val="0D0D0D" w:themeColor="text1" w:themeTint="F2"/>
                          <w:sz w:val="36"/>
                          <w:szCs w:val="22"/>
                          <w:lang w:val="es-ES_tradnl"/>
                        </w:rPr>
                        <w:t>20</w:t>
                      </w:r>
                    </w:p>
                    <w:p w14:paraId="09C54AB3" w14:textId="49927A7E" w:rsidR="00ED7968" w:rsidRDefault="00ED796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993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77B96D47" w:rsidR="00ED7968" w:rsidRPr="0010736F" w:rsidRDefault="00ED796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ADMISIBILIDAD</w:t>
                      </w:r>
                    </w:p>
                    <w:p w14:paraId="5FDD6F0D" w14:textId="77777777" w:rsidR="00ED7968" w:rsidRPr="0010736F" w:rsidRDefault="00ED7968"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637B9A1" w:rsidR="00ED7968" w:rsidRPr="0010736F" w:rsidRDefault="00ED796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 V. L. B</w:t>
                      </w:r>
                    </w:p>
                    <w:bookmarkEnd w:id="1"/>
                    <w:p w14:paraId="35068D0D" w14:textId="0665B8E2" w:rsidR="00ED7968" w:rsidRPr="0010736F" w:rsidRDefault="00ED796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ED7968" w:rsidRPr="00AE5488" w:rsidRDefault="00ED7968"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D1D6CE9" w:rsidR="00ED7968" w:rsidRPr="00935F06" w:rsidRDefault="00ED7968"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36EDBB80" w:rsidR="00ED7968" w:rsidRPr="00935F06" w:rsidRDefault="00FD277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116</w:t>
                            </w:r>
                          </w:p>
                          <w:p w14:paraId="69373ED2" w14:textId="0BF4752C" w:rsidR="00ED7968" w:rsidRPr="001B4C00" w:rsidRDefault="00FD2779"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abril</w:t>
                            </w:r>
                            <w:r w:rsidR="00ED7968" w:rsidRPr="001B4C00">
                              <w:rPr>
                                <w:rFonts w:asciiTheme="minorHAnsi" w:hAnsiTheme="minorHAnsi"/>
                                <w:color w:val="FFFFFF" w:themeColor="background1"/>
                                <w:sz w:val="22"/>
                                <w:lang w:val="es-ES"/>
                              </w:rPr>
                              <w:t xml:space="preserve"> 20</w:t>
                            </w:r>
                            <w:r w:rsidR="00F52EAA">
                              <w:rPr>
                                <w:rFonts w:asciiTheme="minorHAnsi" w:hAnsiTheme="minorHAnsi"/>
                                <w:color w:val="FFFFFF" w:themeColor="background1"/>
                                <w:sz w:val="22"/>
                                <w:lang w:val="es-ES"/>
                              </w:rPr>
                              <w:t>20</w:t>
                            </w:r>
                          </w:p>
                          <w:p w14:paraId="0771DB5B" w14:textId="77777777" w:rsidR="00ED7968" w:rsidRPr="001B4C00" w:rsidRDefault="00ED7968"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D1D6CE9" w:rsidR="00ED7968" w:rsidRPr="00935F06" w:rsidRDefault="00ED7968"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36EDBB80" w:rsidR="00ED7968" w:rsidRPr="00935F06" w:rsidRDefault="00FD277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116</w:t>
                      </w:r>
                    </w:p>
                    <w:p w14:paraId="69373ED2" w14:textId="0BF4752C" w:rsidR="00ED7968" w:rsidRPr="001B4C00" w:rsidRDefault="00FD2779"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abril</w:t>
                      </w:r>
                      <w:r w:rsidR="00ED7968" w:rsidRPr="001B4C00">
                        <w:rPr>
                          <w:rFonts w:asciiTheme="minorHAnsi" w:hAnsiTheme="minorHAnsi"/>
                          <w:color w:val="FFFFFF" w:themeColor="background1"/>
                          <w:sz w:val="22"/>
                          <w:lang w:val="es-ES"/>
                        </w:rPr>
                        <w:t xml:space="preserve"> 20</w:t>
                      </w:r>
                      <w:r w:rsidR="00F52EAA">
                        <w:rPr>
                          <w:rFonts w:asciiTheme="minorHAnsi" w:hAnsiTheme="minorHAnsi"/>
                          <w:color w:val="FFFFFF" w:themeColor="background1"/>
                          <w:sz w:val="22"/>
                          <w:lang w:val="es-ES"/>
                        </w:rPr>
                        <w:t>20</w:t>
                      </w:r>
                    </w:p>
                    <w:p w14:paraId="0771DB5B" w14:textId="77777777" w:rsidR="00ED7968" w:rsidRPr="001B4C00" w:rsidRDefault="00ED7968"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B02F53E" w:rsidR="00ED7968" w:rsidRPr="00890650" w:rsidRDefault="00ED796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D2779">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FD2779">
                              <w:rPr>
                                <w:rFonts w:asciiTheme="majorHAnsi" w:hAnsiTheme="majorHAnsi"/>
                                <w:color w:val="0D0D0D" w:themeColor="text1" w:themeTint="F2"/>
                                <w:sz w:val="18"/>
                                <w:szCs w:val="22"/>
                                <w:lang w:val="es-ES"/>
                              </w:rPr>
                              <w:t>abril</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F52EAA">
                              <w:rPr>
                                <w:rFonts w:asciiTheme="majorHAnsi" w:hAnsiTheme="majorHAnsi"/>
                                <w:color w:val="0D0D0D" w:themeColor="text1" w:themeTint="F2"/>
                                <w:sz w:val="18"/>
                                <w:szCs w:val="22"/>
                                <w:lang w:val="es-ES"/>
                              </w:rPr>
                              <w:t>20</w:t>
                            </w:r>
                            <w:r w:rsidR="005021E1">
                              <w:rPr>
                                <w:rFonts w:asciiTheme="majorHAnsi" w:hAnsiTheme="majorHAnsi"/>
                                <w:color w:val="0D0D0D" w:themeColor="text1" w:themeTint="F2"/>
                                <w:sz w:val="18"/>
                                <w:szCs w:val="22"/>
                                <w:lang w:val="es-ES"/>
                              </w:rPr>
                              <w:t>.</w:t>
                            </w:r>
                          </w:p>
                          <w:p w14:paraId="4BDF3581" w14:textId="77777777" w:rsidR="00ED7968" w:rsidRPr="007A5817" w:rsidRDefault="00ED7968"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ED7968" w:rsidRPr="00167A34" w:rsidRDefault="00ED796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B02F53E" w:rsidR="00ED7968" w:rsidRPr="00890650" w:rsidRDefault="00ED796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D2779">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FD2779">
                        <w:rPr>
                          <w:rFonts w:asciiTheme="majorHAnsi" w:hAnsiTheme="majorHAnsi"/>
                          <w:color w:val="0D0D0D" w:themeColor="text1" w:themeTint="F2"/>
                          <w:sz w:val="18"/>
                          <w:szCs w:val="22"/>
                          <w:lang w:val="es-ES"/>
                        </w:rPr>
                        <w:t>abril</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F52EAA">
                        <w:rPr>
                          <w:rFonts w:asciiTheme="majorHAnsi" w:hAnsiTheme="majorHAnsi"/>
                          <w:color w:val="0D0D0D" w:themeColor="text1" w:themeTint="F2"/>
                          <w:sz w:val="18"/>
                          <w:szCs w:val="22"/>
                          <w:lang w:val="es-ES"/>
                        </w:rPr>
                        <w:t>20</w:t>
                      </w:r>
                      <w:r w:rsidR="005021E1">
                        <w:rPr>
                          <w:rFonts w:asciiTheme="majorHAnsi" w:hAnsiTheme="majorHAnsi"/>
                          <w:color w:val="0D0D0D" w:themeColor="text1" w:themeTint="F2"/>
                          <w:sz w:val="18"/>
                          <w:szCs w:val="22"/>
                          <w:lang w:val="es-ES"/>
                        </w:rPr>
                        <w:t>.</w:t>
                      </w:r>
                    </w:p>
                    <w:p w14:paraId="4BDF3581" w14:textId="77777777" w:rsidR="00ED7968" w:rsidRPr="007A5817" w:rsidRDefault="00ED7968"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ED7968" w:rsidRPr="00167A34" w:rsidRDefault="00ED796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A4BEE0B" w:rsidR="00ED7968" w:rsidRPr="007B05C4" w:rsidRDefault="00ED796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D2779" w:rsidRPr="00FD2779">
                              <w:rPr>
                                <w:rFonts w:asciiTheme="majorHAnsi" w:hAnsiTheme="majorHAnsi"/>
                                <w:color w:val="595959" w:themeColor="text1" w:themeTint="A6"/>
                                <w:sz w:val="18"/>
                                <w:szCs w:val="18"/>
                                <w:lang w:val="pt-BR"/>
                              </w:rPr>
                              <w:t>106</w:t>
                            </w:r>
                            <w:r w:rsidRPr="00FD2779">
                              <w:rPr>
                                <w:rFonts w:asciiTheme="majorHAnsi" w:hAnsiTheme="majorHAnsi"/>
                                <w:color w:val="595959" w:themeColor="text1" w:themeTint="A6"/>
                                <w:sz w:val="18"/>
                                <w:szCs w:val="18"/>
                                <w:lang w:val="pt-BR"/>
                              </w:rPr>
                              <w:t>/</w:t>
                            </w:r>
                            <w:r w:rsidR="00FD2779" w:rsidRPr="00FD2779">
                              <w:rPr>
                                <w:rFonts w:asciiTheme="majorHAnsi" w:hAnsiTheme="majorHAnsi"/>
                                <w:color w:val="595959" w:themeColor="text1" w:themeTint="A6"/>
                                <w:sz w:val="18"/>
                                <w:szCs w:val="18"/>
                                <w:lang w:val="pt-BR"/>
                              </w:rPr>
                              <w:t>20</w:t>
                            </w:r>
                            <w:r w:rsidRPr="00FD2779">
                              <w:rPr>
                                <w:rFonts w:asciiTheme="majorHAnsi" w:hAnsiTheme="majorHAnsi"/>
                                <w:color w:val="595959" w:themeColor="text1" w:themeTint="A6"/>
                                <w:sz w:val="18"/>
                                <w:szCs w:val="18"/>
                                <w:lang w:val="pt-BR"/>
                              </w:rPr>
                              <w:t xml:space="preserve">. </w:t>
                            </w:r>
                            <w:r w:rsidR="005021E1">
                              <w:rPr>
                                <w:rFonts w:asciiTheme="majorHAnsi" w:hAnsiTheme="majorHAnsi"/>
                                <w:color w:val="595959" w:themeColor="text1" w:themeTint="A6"/>
                                <w:sz w:val="18"/>
                                <w:szCs w:val="18"/>
                                <w:lang w:val="pt-BR"/>
                              </w:rPr>
                              <w:t xml:space="preserve">Petición 993-09. </w:t>
                            </w:r>
                            <w:r w:rsidRPr="00890650">
                              <w:rPr>
                                <w:rFonts w:asciiTheme="majorHAnsi" w:hAnsiTheme="majorHAnsi"/>
                                <w:color w:val="595959" w:themeColor="text1" w:themeTint="A6"/>
                                <w:sz w:val="18"/>
                                <w:szCs w:val="18"/>
                                <w:lang w:val="es-ES_tradnl"/>
                              </w:rPr>
                              <w:t xml:space="preserve">Admisibilidad. </w:t>
                            </w:r>
                            <w:r w:rsidR="00FD2779" w:rsidRPr="00FD2779">
                              <w:rPr>
                                <w:rFonts w:asciiTheme="majorHAnsi" w:hAnsiTheme="majorHAnsi"/>
                                <w:color w:val="595959" w:themeColor="text1" w:themeTint="A6"/>
                                <w:sz w:val="18"/>
                                <w:szCs w:val="18"/>
                                <w:lang w:val="es-419"/>
                              </w:rPr>
                              <w:t>G.V.L.B.</w:t>
                            </w:r>
                            <w:r w:rsidRPr="00FD2779">
                              <w:rPr>
                                <w:rFonts w:asciiTheme="majorHAnsi" w:hAnsiTheme="majorHAnsi"/>
                                <w:color w:val="595959" w:themeColor="text1" w:themeTint="A6"/>
                                <w:sz w:val="18"/>
                                <w:szCs w:val="18"/>
                                <w:lang w:val="es-419"/>
                              </w:rPr>
                              <w:t xml:space="preserve"> </w:t>
                            </w:r>
                            <w:r w:rsidR="00FD2779" w:rsidRPr="00FD2779">
                              <w:rPr>
                                <w:rFonts w:asciiTheme="majorHAnsi" w:hAnsiTheme="majorHAnsi"/>
                                <w:color w:val="595959" w:themeColor="text1" w:themeTint="A6"/>
                                <w:sz w:val="18"/>
                                <w:szCs w:val="18"/>
                                <w:lang w:val="es-419"/>
                              </w:rPr>
                              <w:t>México</w:t>
                            </w:r>
                            <w:r w:rsidRPr="00FD2779">
                              <w:rPr>
                                <w:rFonts w:asciiTheme="majorHAnsi" w:hAnsiTheme="majorHAnsi"/>
                                <w:color w:val="595959" w:themeColor="text1" w:themeTint="A6"/>
                                <w:sz w:val="18"/>
                                <w:szCs w:val="18"/>
                                <w:lang w:val="es-419"/>
                              </w:rPr>
                              <w:t xml:space="preserve">. </w:t>
                            </w:r>
                            <w:r w:rsidR="00FD2779">
                              <w:rPr>
                                <w:rFonts w:asciiTheme="majorHAnsi" w:hAnsiTheme="majorHAnsi"/>
                                <w:color w:val="595959" w:themeColor="text1" w:themeTint="A6"/>
                                <w:sz w:val="18"/>
                                <w:szCs w:val="18"/>
                                <w:lang w:val="es-ES"/>
                              </w:rPr>
                              <w:t>24 de abril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A4BEE0B" w:rsidR="00ED7968" w:rsidRPr="007B05C4" w:rsidRDefault="00ED796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D2779" w:rsidRPr="00FD2779">
                        <w:rPr>
                          <w:rFonts w:asciiTheme="majorHAnsi" w:hAnsiTheme="majorHAnsi"/>
                          <w:color w:val="595959" w:themeColor="text1" w:themeTint="A6"/>
                          <w:sz w:val="18"/>
                          <w:szCs w:val="18"/>
                          <w:lang w:val="pt-BR"/>
                        </w:rPr>
                        <w:t>106</w:t>
                      </w:r>
                      <w:r w:rsidRPr="00FD2779">
                        <w:rPr>
                          <w:rFonts w:asciiTheme="majorHAnsi" w:hAnsiTheme="majorHAnsi"/>
                          <w:color w:val="595959" w:themeColor="text1" w:themeTint="A6"/>
                          <w:sz w:val="18"/>
                          <w:szCs w:val="18"/>
                          <w:lang w:val="pt-BR"/>
                        </w:rPr>
                        <w:t>/</w:t>
                      </w:r>
                      <w:r w:rsidR="00FD2779" w:rsidRPr="00FD2779">
                        <w:rPr>
                          <w:rFonts w:asciiTheme="majorHAnsi" w:hAnsiTheme="majorHAnsi"/>
                          <w:color w:val="595959" w:themeColor="text1" w:themeTint="A6"/>
                          <w:sz w:val="18"/>
                          <w:szCs w:val="18"/>
                          <w:lang w:val="pt-BR"/>
                        </w:rPr>
                        <w:t>20</w:t>
                      </w:r>
                      <w:r w:rsidRPr="00FD2779">
                        <w:rPr>
                          <w:rFonts w:asciiTheme="majorHAnsi" w:hAnsiTheme="majorHAnsi"/>
                          <w:color w:val="595959" w:themeColor="text1" w:themeTint="A6"/>
                          <w:sz w:val="18"/>
                          <w:szCs w:val="18"/>
                          <w:lang w:val="pt-BR"/>
                        </w:rPr>
                        <w:t xml:space="preserve">. </w:t>
                      </w:r>
                      <w:r w:rsidR="005021E1">
                        <w:rPr>
                          <w:rFonts w:asciiTheme="majorHAnsi" w:hAnsiTheme="majorHAnsi"/>
                          <w:color w:val="595959" w:themeColor="text1" w:themeTint="A6"/>
                          <w:sz w:val="18"/>
                          <w:szCs w:val="18"/>
                          <w:lang w:val="pt-BR"/>
                        </w:rPr>
                        <w:t xml:space="preserve">Petición 993-09. </w:t>
                      </w:r>
                      <w:r w:rsidRPr="00890650">
                        <w:rPr>
                          <w:rFonts w:asciiTheme="majorHAnsi" w:hAnsiTheme="majorHAnsi"/>
                          <w:color w:val="595959" w:themeColor="text1" w:themeTint="A6"/>
                          <w:sz w:val="18"/>
                          <w:szCs w:val="18"/>
                          <w:lang w:val="es-ES_tradnl"/>
                        </w:rPr>
                        <w:t xml:space="preserve">Admisibilidad. </w:t>
                      </w:r>
                      <w:r w:rsidR="00FD2779" w:rsidRPr="00FD2779">
                        <w:rPr>
                          <w:rFonts w:asciiTheme="majorHAnsi" w:hAnsiTheme="majorHAnsi"/>
                          <w:color w:val="595959" w:themeColor="text1" w:themeTint="A6"/>
                          <w:sz w:val="18"/>
                          <w:szCs w:val="18"/>
                          <w:lang w:val="es-419"/>
                        </w:rPr>
                        <w:t>G.V.L.B.</w:t>
                      </w:r>
                      <w:r w:rsidRPr="00FD2779">
                        <w:rPr>
                          <w:rFonts w:asciiTheme="majorHAnsi" w:hAnsiTheme="majorHAnsi"/>
                          <w:color w:val="595959" w:themeColor="text1" w:themeTint="A6"/>
                          <w:sz w:val="18"/>
                          <w:szCs w:val="18"/>
                          <w:lang w:val="es-419"/>
                        </w:rPr>
                        <w:t xml:space="preserve"> </w:t>
                      </w:r>
                      <w:r w:rsidR="00FD2779" w:rsidRPr="00FD2779">
                        <w:rPr>
                          <w:rFonts w:asciiTheme="majorHAnsi" w:hAnsiTheme="majorHAnsi"/>
                          <w:color w:val="595959" w:themeColor="text1" w:themeTint="A6"/>
                          <w:sz w:val="18"/>
                          <w:szCs w:val="18"/>
                          <w:lang w:val="es-419"/>
                        </w:rPr>
                        <w:t>México</w:t>
                      </w:r>
                      <w:r w:rsidRPr="00FD2779">
                        <w:rPr>
                          <w:rFonts w:asciiTheme="majorHAnsi" w:hAnsiTheme="majorHAnsi"/>
                          <w:color w:val="595959" w:themeColor="text1" w:themeTint="A6"/>
                          <w:sz w:val="18"/>
                          <w:szCs w:val="18"/>
                          <w:lang w:val="es-419"/>
                        </w:rPr>
                        <w:t xml:space="preserve">. </w:t>
                      </w:r>
                      <w:r w:rsidR="00FD2779">
                        <w:rPr>
                          <w:rFonts w:asciiTheme="majorHAnsi" w:hAnsiTheme="majorHAnsi"/>
                          <w:color w:val="595959" w:themeColor="text1" w:themeTint="A6"/>
                          <w:sz w:val="18"/>
                          <w:szCs w:val="18"/>
                          <w:lang w:val="es-ES"/>
                        </w:rPr>
                        <w:t>24 de abril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03B1EED3"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357657A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ED7968" w:rsidRPr="004B7EB6" w:rsidRDefault="00ED796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ED7968" w:rsidRPr="004B7EB6" w:rsidRDefault="00ED796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5C23CFFF" w:rsidR="0070697F" w:rsidRPr="00006B74" w:rsidRDefault="00FD2779"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0BD5CF34">
                <wp:simplePos x="0" y="0"/>
                <wp:positionH relativeFrom="column">
                  <wp:posOffset>1328739</wp:posOffset>
                </wp:positionH>
                <wp:positionV relativeFrom="paragraph">
                  <wp:posOffset>423545</wp:posOffset>
                </wp:positionV>
                <wp:extent cx="4114800" cy="633413"/>
                <wp:effectExtent l="0" t="0" r="0" b="0"/>
                <wp:wrapNone/>
                <wp:docPr id="9" name="Text Box 9"/>
                <wp:cNvGraphicFramePr/>
                <a:graphic xmlns:a="http://schemas.openxmlformats.org/drawingml/2006/main">
                  <a:graphicData uri="http://schemas.microsoft.com/office/word/2010/wordprocessingShape">
                    <wps:wsp>
                      <wps:cNvSpPr txBox="1"/>
                      <wps:spPr>
                        <a:xfrm>
                          <a:off x="0" y="0"/>
                          <a:ext cx="4114800" cy="6334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ED7968" w:rsidRPr="00D72DC6" w:rsidRDefault="00ED796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2" type="#_x0000_t202" style="position:absolute;left:0;text-align:left;margin-left:104.65pt;margin-top:33.35pt;width:324pt;height:4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" fillcolor="white [3201]" stroked="f" strokeweight=".5pt">
                <v:textbox>
                  <w:txbxContent>
                    <w:p w14:paraId="2A1ECD3C" w14:textId="77777777" w:rsidR="00ED7968" w:rsidRPr="00D72DC6" w:rsidRDefault="00ED796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B4C0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3F6FA1">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68D6DCF6" w:rsidR="003239B8" w:rsidRPr="00006B74" w:rsidRDefault="002915AD" w:rsidP="003F6FA1">
            <w:pPr>
              <w:jc w:val="both"/>
              <w:rPr>
                <w:rFonts w:ascii="Cambria" w:hAnsi="Cambria"/>
                <w:bCs/>
                <w:sz w:val="19"/>
                <w:szCs w:val="19"/>
                <w:lang w:val="es-ES"/>
              </w:rPr>
            </w:pPr>
            <w:r>
              <w:rPr>
                <w:rFonts w:ascii="Cambria" w:hAnsi="Cambria"/>
                <w:bCs/>
                <w:sz w:val="19"/>
                <w:szCs w:val="19"/>
                <w:lang w:val="es-ES"/>
              </w:rPr>
              <w:t>María de Jesús Bautista</w:t>
            </w:r>
          </w:p>
        </w:tc>
      </w:tr>
      <w:tr w:rsidR="003239B8" w:rsidRPr="001B4C00"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3F6FA1">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34F55C67" w:rsidR="003239B8" w:rsidRPr="00006B74" w:rsidRDefault="00C725BE" w:rsidP="00225E0C">
            <w:pPr>
              <w:jc w:val="both"/>
              <w:rPr>
                <w:rFonts w:ascii="Cambria" w:hAnsi="Cambria"/>
                <w:bCs/>
                <w:sz w:val="19"/>
                <w:szCs w:val="19"/>
                <w:lang w:val="es-ES"/>
              </w:rPr>
            </w:pPr>
            <w:r>
              <w:rPr>
                <w:rFonts w:ascii="Cambria" w:hAnsi="Cambria"/>
                <w:bCs/>
                <w:sz w:val="19"/>
                <w:szCs w:val="19"/>
                <w:lang w:val="es-ES"/>
              </w:rPr>
              <w:t>G</w:t>
            </w:r>
            <w:r w:rsidR="00225E0C">
              <w:rPr>
                <w:rFonts w:ascii="Cambria" w:hAnsi="Cambria"/>
                <w:bCs/>
                <w:sz w:val="19"/>
                <w:szCs w:val="19"/>
                <w:lang w:val="es-ES"/>
              </w:rPr>
              <w:t>.V.L.B</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3F6FA1">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276870F3" w:rsidR="003239B8" w:rsidRPr="00006B74" w:rsidRDefault="00C725BE" w:rsidP="003F6FA1">
            <w:pPr>
              <w:jc w:val="both"/>
              <w:rPr>
                <w:rFonts w:ascii="Cambria" w:hAnsi="Cambria"/>
                <w:bCs/>
                <w:sz w:val="19"/>
                <w:szCs w:val="19"/>
                <w:lang w:val="es-ES"/>
              </w:rPr>
            </w:pPr>
            <w:r>
              <w:rPr>
                <w:rFonts w:ascii="Cambria" w:hAnsi="Cambria"/>
                <w:bCs/>
                <w:sz w:val="19"/>
                <w:szCs w:val="19"/>
                <w:lang w:val="es-ES"/>
              </w:rPr>
              <w:t>México</w:t>
            </w:r>
            <w:r w:rsidRPr="00006B74">
              <w:rPr>
                <w:rStyle w:val="FootnoteReference"/>
                <w:rFonts w:ascii="Cambria" w:hAnsi="Cambria"/>
                <w:bCs/>
                <w:sz w:val="19"/>
                <w:szCs w:val="19"/>
                <w:lang w:val="es-ES"/>
              </w:rPr>
              <w:footnoteReference w:id="2"/>
            </w:r>
          </w:p>
        </w:tc>
      </w:tr>
      <w:tr w:rsidR="00223A29" w:rsidRPr="005021E1"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5FE6F559" w:rsidR="00223A29" w:rsidRPr="00006B74" w:rsidRDefault="00BF514A" w:rsidP="00474EF8">
            <w:pPr>
              <w:jc w:val="both"/>
              <w:rPr>
                <w:rFonts w:ascii="Cambria" w:hAnsi="Cambria"/>
                <w:bCs/>
                <w:sz w:val="19"/>
                <w:szCs w:val="19"/>
                <w:lang w:val="es-ES"/>
              </w:rPr>
            </w:pPr>
            <w:r w:rsidRPr="00C725BE">
              <w:rPr>
                <w:rFonts w:ascii="Cambria" w:hAnsi="Cambria"/>
                <w:bCs/>
                <w:sz w:val="19"/>
                <w:szCs w:val="19"/>
                <w:lang w:val="es-ES"/>
              </w:rPr>
              <w:t xml:space="preserve">Artículos </w:t>
            </w:r>
            <w:r w:rsidR="00C725BE" w:rsidRPr="00C725BE">
              <w:rPr>
                <w:rFonts w:ascii="Cambria" w:hAnsi="Cambria"/>
                <w:bCs/>
                <w:sz w:val="19"/>
                <w:szCs w:val="19"/>
                <w:lang w:val="es-ES"/>
              </w:rPr>
              <w:t>11 (protección de la honra y de la dignidad) y 14 (</w:t>
            </w:r>
            <w:r w:rsidR="00474EF8" w:rsidRPr="00C725BE">
              <w:rPr>
                <w:rFonts w:ascii="Cambria" w:hAnsi="Cambria"/>
                <w:bCs/>
                <w:sz w:val="19"/>
                <w:szCs w:val="19"/>
                <w:lang w:val="es-ES"/>
              </w:rPr>
              <w:t>r</w:t>
            </w:r>
            <w:r w:rsidR="00474EF8">
              <w:rPr>
                <w:rFonts w:ascii="Cambria" w:hAnsi="Cambria"/>
                <w:bCs/>
                <w:sz w:val="19"/>
                <w:szCs w:val="19"/>
                <w:lang w:val="es-ES"/>
              </w:rPr>
              <w:t>ec</w:t>
            </w:r>
            <w:r w:rsidR="00474EF8" w:rsidRPr="00C725BE">
              <w:rPr>
                <w:rFonts w:ascii="Cambria" w:hAnsi="Cambria"/>
                <w:bCs/>
                <w:sz w:val="19"/>
                <w:szCs w:val="19"/>
                <w:lang w:val="es-ES"/>
              </w:rPr>
              <w:t xml:space="preserve">tificación </w:t>
            </w:r>
            <w:r w:rsidR="00C725BE" w:rsidRPr="00C725BE">
              <w:rPr>
                <w:rFonts w:ascii="Cambria" w:hAnsi="Cambria"/>
                <w:bCs/>
                <w:sz w:val="19"/>
                <w:szCs w:val="19"/>
                <w:lang w:val="es-ES"/>
              </w:rPr>
              <w:t>o respuesta)</w:t>
            </w:r>
            <w:r w:rsidRPr="00C725BE">
              <w:rPr>
                <w:rFonts w:ascii="Cambria" w:hAnsi="Cambria"/>
                <w:bCs/>
                <w:sz w:val="19"/>
                <w:szCs w:val="19"/>
                <w:lang w:val="es-ES"/>
              </w:rPr>
              <w:t xml:space="preserve"> de la Convención Americana sobre Derechos Humanos</w:t>
            </w:r>
            <w:r w:rsidRPr="00C725BE">
              <w:rPr>
                <w:rStyle w:val="FootnoteReference"/>
                <w:rFonts w:ascii="Cambria" w:hAnsi="Cambria"/>
                <w:bCs/>
                <w:sz w:val="19"/>
                <w:szCs w:val="19"/>
                <w:lang w:val="es-ES"/>
              </w:rPr>
              <w:footnoteReference w:id="3"/>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7052C17E" w:rsidR="004C2312" w:rsidRPr="0047080D" w:rsidRDefault="00C725BE" w:rsidP="003F6FA1">
            <w:pPr>
              <w:jc w:val="both"/>
              <w:rPr>
                <w:rFonts w:ascii="Cambria" w:hAnsi="Cambria"/>
                <w:bCs/>
                <w:sz w:val="19"/>
                <w:szCs w:val="19"/>
                <w:lang w:val="es-ES"/>
              </w:rPr>
            </w:pPr>
            <w:r>
              <w:rPr>
                <w:rFonts w:ascii="Cambria" w:hAnsi="Cambria"/>
                <w:bCs/>
                <w:sz w:val="19"/>
                <w:szCs w:val="19"/>
                <w:lang w:val="es-ES"/>
              </w:rPr>
              <w:t>9 de agosto de 2009</w:t>
            </w:r>
          </w:p>
        </w:tc>
      </w:tr>
      <w:tr w:rsidR="006E772A" w:rsidRPr="005021E1"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47080D" w:rsidRDefault="006E772A"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Información adicional </w:t>
            </w:r>
            <w:r w:rsidR="002355A9" w:rsidRPr="0047080D">
              <w:rPr>
                <w:rFonts w:ascii="Cambria" w:hAnsi="Cambria"/>
                <w:bCs/>
                <w:color w:val="FFFFFF" w:themeColor="background1"/>
                <w:sz w:val="19"/>
                <w:szCs w:val="19"/>
                <w:lang w:val="es-ES"/>
              </w:rPr>
              <w:t>recibida en la etapa de estudio</w:t>
            </w:r>
          </w:p>
        </w:tc>
        <w:tc>
          <w:tcPr>
            <w:tcW w:w="6570" w:type="dxa"/>
            <w:vAlign w:val="center"/>
          </w:tcPr>
          <w:p w14:paraId="796669C8" w14:textId="01E47835" w:rsidR="006E772A" w:rsidRPr="0047080D" w:rsidRDefault="00C725BE" w:rsidP="003F6FA1">
            <w:pPr>
              <w:jc w:val="both"/>
              <w:rPr>
                <w:rFonts w:ascii="Cambria" w:hAnsi="Cambria"/>
                <w:bCs/>
                <w:sz w:val="19"/>
                <w:szCs w:val="19"/>
                <w:lang w:val="es-ES"/>
              </w:rPr>
            </w:pPr>
            <w:r>
              <w:rPr>
                <w:rFonts w:ascii="Cambria" w:hAnsi="Cambria"/>
                <w:bCs/>
                <w:sz w:val="19"/>
                <w:szCs w:val="19"/>
                <w:lang w:val="es-ES"/>
              </w:rPr>
              <w:t>08 de marzo de 2010</w:t>
            </w:r>
            <w:r w:rsidR="00D47FCE">
              <w:rPr>
                <w:rFonts w:ascii="Cambria" w:hAnsi="Cambria"/>
                <w:bCs/>
                <w:sz w:val="19"/>
                <w:szCs w:val="19"/>
                <w:lang w:val="es-ES"/>
              </w:rPr>
              <w:t>; 26 de marzo de 2014</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283F876C" w:rsidR="004C2312" w:rsidRPr="0047080D" w:rsidRDefault="00D47FCE" w:rsidP="003F6FA1">
            <w:pPr>
              <w:jc w:val="both"/>
              <w:rPr>
                <w:rFonts w:ascii="Cambria" w:hAnsi="Cambria"/>
                <w:bCs/>
                <w:sz w:val="19"/>
                <w:szCs w:val="19"/>
                <w:lang w:val="es-ES"/>
              </w:rPr>
            </w:pPr>
            <w:r>
              <w:rPr>
                <w:rFonts w:ascii="Cambria" w:hAnsi="Cambria"/>
                <w:bCs/>
                <w:sz w:val="19"/>
                <w:szCs w:val="19"/>
                <w:lang w:val="es-ES"/>
              </w:rPr>
              <w:t>10 de agosto de 2016</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4C01CF2D" w:rsidR="00F06354" w:rsidRPr="0047080D" w:rsidRDefault="00D47FCE" w:rsidP="00F06354">
            <w:pPr>
              <w:jc w:val="both"/>
              <w:rPr>
                <w:rFonts w:ascii="Cambria" w:hAnsi="Cambria"/>
                <w:bCs/>
                <w:sz w:val="19"/>
                <w:szCs w:val="19"/>
                <w:lang w:val="es-ES"/>
              </w:rPr>
            </w:pPr>
            <w:r>
              <w:rPr>
                <w:rFonts w:ascii="Cambria" w:hAnsi="Cambria"/>
                <w:bCs/>
                <w:sz w:val="19"/>
                <w:szCs w:val="19"/>
                <w:lang w:val="es-ES"/>
              </w:rPr>
              <w:t>27 de diciembre de 2016</w:t>
            </w:r>
          </w:p>
        </w:tc>
      </w:tr>
      <w:tr w:rsidR="006E772A" w:rsidRPr="00006B74" w14:paraId="7AE929FB" w14:textId="77777777" w:rsidTr="00954B82">
        <w:tc>
          <w:tcPr>
            <w:tcW w:w="2790" w:type="dxa"/>
            <w:tcBorders>
              <w:top w:val="single" w:sz="6" w:space="0" w:color="auto"/>
              <w:bottom w:val="single" w:sz="6" w:space="0" w:color="auto"/>
            </w:tcBorders>
            <w:shd w:val="clear" w:color="auto" w:fill="386294"/>
            <w:vAlign w:val="center"/>
          </w:tcPr>
          <w:p w14:paraId="2F1661A8" w14:textId="5DFC7FC3" w:rsidR="006E772A" w:rsidRPr="0047080D" w:rsidRDefault="006E772A"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Advertencia de archivo</w:t>
            </w:r>
          </w:p>
        </w:tc>
        <w:tc>
          <w:tcPr>
            <w:tcW w:w="6570" w:type="dxa"/>
            <w:vAlign w:val="center"/>
          </w:tcPr>
          <w:p w14:paraId="08AD497E" w14:textId="715DE0E5" w:rsidR="006E772A" w:rsidRPr="0047080D" w:rsidRDefault="002915AD" w:rsidP="00F06354">
            <w:pPr>
              <w:jc w:val="both"/>
              <w:rPr>
                <w:rFonts w:ascii="Cambria" w:hAnsi="Cambria"/>
                <w:bCs/>
                <w:sz w:val="19"/>
                <w:szCs w:val="19"/>
                <w:lang w:val="es-ES"/>
              </w:rPr>
            </w:pPr>
            <w:r>
              <w:rPr>
                <w:rFonts w:ascii="Cambria" w:hAnsi="Cambria"/>
                <w:bCs/>
                <w:sz w:val="19"/>
                <w:szCs w:val="19"/>
                <w:lang w:val="es-ES"/>
              </w:rPr>
              <w:t>16 de noviembre de 2018</w:t>
            </w:r>
          </w:p>
        </w:tc>
      </w:tr>
      <w:tr w:rsidR="006E772A" w:rsidRPr="002915AD" w14:paraId="2C3038EF" w14:textId="77777777" w:rsidTr="00954B82">
        <w:tc>
          <w:tcPr>
            <w:tcW w:w="2790" w:type="dxa"/>
            <w:tcBorders>
              <w:top w:val="single" w:sz="6" w:space="0" w:color="auto"/>
              <w:bottom w:val="single" w:sz="6" w:space="0" w:color="auto"/>
            </w:tcBorders>
            <w:shd w:val="clear" w:color="auto" w:fill="386294"/>
            <w:vAlign w:val="center"/>
          </w:tcPr>
          <w:p w14:paraId="1A232871" w14:textId="764AA355" w:rsidR="006E772A" w:rsidRPr="0047080D" w:rsidRDefault="006E772A"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Respuesta a la </w:t>
            </w:r>
            <w:r w:rsidR="002355A9" w:rsidRPr="0047080D">
              <w:rPr>
                <w:rFonts w:ascii="Cambria" w:hAnsi="Cambria"/>
                <w:bCs/>
                <w:color w:val="FFFFFF" w:themeColor="background1"/>
                <w:sz w:val="19"/>
                <w:szCs w:val="19"/>
                <w:lang w:val="es-ES"/>
              </w:rPr>
              <w:t>advertencia de archivo</w:t>
            </w:r>
          </w:p>
        </w:tc>
        <w:tc>
          <w:tcPr>
            <w:tcW w:w="6570" w:type="dxa"/>
            <w:vAlign w:val="center"/>
          </w:tcPr>
          <w:p w14:paraId="51D3249B" w14:textId="34404230" w:rsidR="006E772A" w:rsidRPr="0047080D" w:rsidRDefault="002915AD" w:rsidP="00F06354">
            <w:pPr>
              <w:jc w:val="both"/>
              <w:rPr>
                <w:rFonts w:ascii="Cambria" w:hAnsi="Cambria"/>
                <w:bCs/>
                <w:sz w:val="19"/>
                <w:szCs w:val="19"/>
                <w:lang w:val="es-ES"/>
              </w:rPr>
            </w:pPr>
            <w:r>
              <w:rPr>
                <w:rFonts w:ascii="Cambria" w:hAnsi="Cambria"/>
                <w:bCs/>
                <w:sz w:val="19"/>
                <w:szCs w:val="19"/>
                <w:lang w:val="es-ES"/>
              </w:rPr>
              <w:t>20 de noviembre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3F6FA1">
            <w:pPr>
              <w:jc w:val="center"/>
              <w:rPr>
                <w:rFonts w:ascii="Cambria" w:hAnsi="Cambria"/>
                <w:bCs/>
                <w:i/>
                <w:color w:val="FFFFFF" w:themeColor="background1"/>
                <w:sz w:val="19"/>
                <w:szCs w:val="19"/>
                <w:lang w:val="es-ES"/>
              </w:rPr>
            </w:pPr>
            <w:r w:rsidRPr="0047080D">
              <w:rPr>
                <w:rFonts w:ascii="Cambria" w:hAnsi="Cambria"/>
                <w:bCs/>
                <w:i/>
                <w:color w:val="FFFFFF" w:themeColor="background1"/>
                <w:sz w:val="19"/>
                <w:szCs w:val="19"/>
                <w:lang w:val="es-ES"/>
              </w:rPr>
              <w:t>Ratione personae</w:t>
            </w:r>
          </w:p>
        </w:tc>
        <w:tc>
          <w:tcPr>
            <w:tcW w:w="6570" w:type="dxa"/>
            <w:vAlign w:val="center"/>
          </w:tcPr>
          <w:p w14:paraId="7707F3E9" w14:textId="2FA8FBD1" w:rsidR="003239B8" w:rsidRPr="0047080D" w:rsidRDefault="00D47FCE" w:rsidP="003F6FA1">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loci</w:t>
            </w:r>
          </w:p>
        </w:tc>
        <w:tc>
          <w:tcPr>
            <w:tcW w:w="6570" w:type="dxa"/>
            <w:vAlign w:val="center"/>
          </w:tcPr>
          <w:p w14:paraId="12C931CB" w14:textId="1F3D2258" w:rsidR="003239B8" w:rsidRPr="0047080D" w:rsidRDefault="00D47FCE" w:rsidP="003F6FA1">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3F6FA1">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temporis</w:t>
            </w:r>
          </w:p>
        </w:tc>
        <w:tc>
          <w:tcPr>
            <w:tcW w:w="6570" w:type="dxa"/>
            <w:vAlign w:val="center"/>
          </w:tcPr>
          <w:p w14:paraId="6F8B059B" w14:textId="62E901B3" w:rsidR="003239B8" w:rsidRPr="0047080D" w:rsidRDefault="00D47FCE" w:rsidP="003F6FA1">
            <w:pPr>
              <w:rPr>
                <w:rFonts w:ascii="Cambria" w:hAnsi="Cambria"/>
                <w:bCs/>
                <w:sz w:val="19"/>
                <w:szCs w:val="19"/>
                <w:lang w:val="es-ES"/>
              </w:rPr>
            </w:pPr>
            <w:r>
              <w:rPr>
                <w:rFonts w:ascii="Cambria" w:hAnsi="Cambria"/>
                <w:bCs/>
                <w:sz w:val="19"/>
                <w:szCs w:val="19"/>
                <w:lang w:val="es-ES"/>
              </w:rPr>
              <w:t>Sí</w:t>
            </w:r>
          </w:p>
        </w:tc>
      </w:tr>
      <w:tr w:rsidR="003239B8" w:rsidRPr="005021E1"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3F6FA1">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materia</w:t>
            </w:r>
            <w:r w:rsidR="00EE00E9" w:rsidRPr="0047080D">
              <w:rPr>
                <w:rFonts w:ascii="Cambria" w:hAnsi="Cambria"/>
                <w:bCs/>
                <w:i/>
                <w:color w:val="FFFFFF" w:themeColor="background1"/>
                <w:sz w:val="19"/>
                <w:szCs w:val="19"/>
                <w:lang w:val="es-ES"/>
              </w:rPr>
              <w:t>e</w:t>
            </w:r>
          </w:p>
        </w:tc>
        <w:tc>
          <w:tcPr>
            <w:tcW w:w="6570" w:type="dxa"/>
            <w:vAlign w:val="center"/>
          </w:tcPr>
          <w:p w14:paraId="0C122F44" w14:textId="4B4A520A" w:rsidR="003239B8" w:rsidRPr="0047080D" w:rsidRDefault="00C725BE" w:rsidP="00ED7968">
            <w:pPr>
              <w:jc w:val="both"/>
              <w:rPr>
                <w:rFonts w:ascii="Cambria" w:hAnsi="Cambria"/>
                <w:bCs/>
                <w:sz w:val="19"/>
                <w:szCs w:val="19"/>
                <w:lang w:val="es-ES"/>
              </w:rPr>
            </w:pPr>
            <w:r>
              <w:rPr>
                <w:rFonts w:ascii="Cambria" w:hAnsi="Cambria"/>
                <w:bCs/>
                <w:sz w:val="19"/>
                <w:szCs w:val="19"/>
                <w:lang w:val="es-ES"/>
              </w:rPr>
              <w:t>Sí, Convención Americana (instrumento adoptado el 24 de marzo de 1981)</w:t>
            </w:r>
            <w:r w:rsidR="00ED7968">
              <w:rPr>
                <w:rFonts w:ascii="Cambria" w:hAnsi="Cambria"/>
                <w:bCs/>
                <w:sz w:val="19"/>
                <w:szCs w:val="19"/>
                <w:lang w:val="es-ES"/>
              </w:rPr>
              <w:t xml:space="preserve"> y Convención Interamericana para Prevenir, Sancionar y Erradicar la Violencia contra la Mujer</w:t>
            </w:r>
            <w:r w:rsidR="00ED7968">
              <w:rPr>
                <w:rStyle w:val="FootnoteReference"/>
                <w:rFonts w:ascii="Cambria" w:hAnsi="Cambria"/>
                <w:bCs/>
                <w:sz w:val="19"/>
                <w:szCs w:val="19"/>
                <w:lang w:val="es-ES"/>
              </w:rPr>
              <w:footnoteReference w:id="5"/>
            </w:r>
            <w:r w:rsidR="00ED7968">
              <w:rPr>
                <w:rFonts w:ascii="Cambria" w:hAnsi="Cambria"/>
                <w:bCs/>
                <w:sz w:val="19"/>
                <w:szCs w:val="19"/>
                <w:lang w:val="es-ES"/>
              </w:rPr>
              <w:t xml:space="preserve"> (instrumento adoptado el 12 de noviembre de 1998)</w:t>
            </w:r>
          </w:p>
        </w:tc>
      </w:tr>
    </w:tbl>
    <w:p w14:paraId="4E92C444" w14:textId="3BF92F3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1E0CC8"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19EBE0C3" w:rsidR="00EE00E9" w:rsidRPr="0047080D" w:rsidRDefault="00D47FCE" w:rsidP="003F6FA1">
            <w:pPr>
              <w:jc w:val="both"/>
              <w:rPr>
                <w:rFonts w:ascii="Cambria" w:hAnsi="Cambria"/>
                <w:bCs/>
                <w:sz w:val="19"/>
                <w:szCs w:val="19"/>
                <w:lang w:val="es-ES"/>
              </w:rPr>
            </w:pPr>
            <w:r>
              <w:rPr>
                <w:rFonts w:ascii="Cambria" w:hAnsi="Cambria"/>
                <w:bCs/>
                <w:sz w:val="19"/>
                <w:szCs w:val="19"/>
                <w:lang w:val="es-ES"/>
              </w:rPr>
              <w:t>No</w:t>
            </w:r>
          </w:p>
        </w:tc>
      </w:tr>
      <w:tr w:rsidR="003239B8" w:rsidRPr="005021E1"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6B7B7937" w:rsidR="003239B8" w:rsidRPr="00ED7968" w:rsidRDefault="00ED7968" w:rsidP="00CD0B9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19"/>
                <w:szCs w:val="19"/>
                <w:lang w:val="es-ES"/>
              </w:rPr>
            </w:pPr>
            <w:r w:rsidRPr="00ED7968">
              <w:rPr>
                <w:rFonts w:ascii="Cambria" w:hAnsi="Cambria"/>
                <w:bCs/>
                <w:sz w:val="19"/>
                <w:szCs w:val="19"/>
                <w:lang w:val="es-ES"/>
              </w:rPr>
              <w:t>Artículos 5 (integridad personal), 8 (garantías judiciales), 11 (protección de la honra y de la dignidad), 19 (derechos del niño)</w:t>
            </w:r>
            <w:r w:rsidR="00CD0B9B">
              <w:rPr>
                <w:rFonts w:ascii="Cambria" w:hAnsi="Cambria"/>
                <w:bCs/>
                <w:sz w:val="19"/>
                <w:szCs w:val="19"/>
                <w:lang w:val="es-ES"/>
              </w:rPr>
              <w:t>,</w:t>
            </w:r>
            <w:r w:rsidRPr="00ED7968">
              <w:rPr>
                <w:rFonts w:ascii="Cambria" w:hAnsi="Cambria"/>
                <w:bCs/>
                <w:sz w:val="19"/>
                <w:szCs w:val="19"/>
                <w:lang w:val="es-ES"/>
              </w:rPr>
              <w:t xml:space="preserve"> 25 (protección judicial) </w:t>
            </w:r>
            <w:r w:rsidR="00CD0B9B">
              <w:rPr>
                <w:rFonts w:ascii="Cambria" w:hAnsi="Cambria"/>
                <w:bCs/>
                <w:sz w:val="19"/>
                <w:szCs w:val="19"/>
                <w:lang w:val="es-ES"/>
              </w:rPr>
              <w:t xml:space="preserve">y 26 (derechos económicos, sociales y culturales) </w:t>
            </w:r>
            <w:r w:rsidRPr="00ED7968">
              <w:rPr>
                <w:rFonts w:ascii="Cambria" w:hAnsi="Cambria"/>
                <w:bCs/>
                <w:sz w:val="19"/>
                <w:szCs w:val="19"/>
                <w:lang w:val="es-ES"/>
              </w:rPr>
              <w:t>de la Convención Americana, con relación a su artículo 1.1; y artículo 7 de la Convención de Belém do Pará</w:t>
            </w:r>
            <w:r w:rsidRPr="00ED7968">
              <w:rPr>
                <w:rFonts w:asciiTheme="majorHAnsi" w:hAnsiTheme="majorHAnsi"/>
                <w:sz w:val="19"/>
                <w:szCs w:val="19"/>
                <w:lang w:val="es-ES"/>
              </w:rPr>
              <w:t>;</w:t>
            </w:r>
          </w:p>
        </w:tc>
      </w:tr>
      <w:tr w:rsidR="003239B8" w:rsidRPr="005021E1"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6AB87300" w:rsidR="003239B8" w:rsidRPr="0047080D" w:rsidRDefault="00143927" w:rsidP="00BB3FBD">
            <w:pPr>
              <w:rPr>
                <w:rFonts w:ascii="Cambria" w:hAnsi="Cambria"/>
                <w:bCs/>
                <w:sz w:val="19"/>
                <w:szCs w:val="19"/>
                <w:lang w:val="es-ES"/>
              </w:rPr>
            </w:pPr>
            <w:r>
              <w:rPr>
                <w:rFonts w:ascii="Cambria" w:hAnsi="Cambria"/>
                <w:bCs/>
                <w:sz w:val="19"/>
                <w:szCs w:val="19"/>
                <w:lang w:val="es-ES"/>
              </w:rPr>
              <w:t>Sí</w:t>
            </w:r>
            <w:r w:rsidR="005F2458">
              <w:rPr>
                <w:rFonts w:ascii="Cambria" w:hAnsi="Cambria"/>
                <w:bCs/>
                <w:sz w:val="19"/>
                <w:szCs w:val="19"/>
                <w:lang w:val="es-ES"/>
              </w:rPr>
              <w:t>, en los términos de la sección VI</w:t>
            </w:r>
          </w:p>
        </w:tc>
      </w:tr>
      <w:tr w:rsidR="003239B8" w:rsidRPr="00006B74"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3F6FA1">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7C5E4D71" w:rsidR="003239B8" w:rsidRPr="0047080D" w:rsidRDefault="00143927" w:rsidP="003F6FA1">
            <w:pPr>
              <w:rPr>
                <w:rFonts w:ascii="Cambria" w:hAnsi="Cambria"/>
                <w:bCs/>
                <w:sz w:val="19"/>
                <w:szCs w:val="19"/>
                <w:lang w:val="es-ES"/>
              </w:rPr>
            </w:pPr>
            <w:r>
              <w:rPr>
                <w:rFonts w:ascii="Cambria" w:hAnsi="Cambria"/>
                <w:bCs/>
                <w:sz w:val="19"/>
                <w:szCs w:val="19"/>
                <w:lang w:val="es-ES"/>
              </w:rPr>
              <w:t>Sí</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44D64B89" w14:textId="4B98E942" w:rsidR="00B57E0E" w:rsidRPr="00F52EAA" w:rsidRDefault="00EA16AB" w:rsidP="005C5A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F52EAA">
        <w:rPr>
          <w:rFonts w:ascii="Cambria" w:hAnsi="Cambria"/>
          <w:sz w:val="20"/>
          <w:szCs w:val="20"/>
          <w:lang w:val="es-ES"/>
        </w:rPr>
        <w:t xml:space="preserve">La parte peticionaria alega la responsabilidad del Estado mexicano por haber vulnerado en </w:t>
      </w:r>
      <w:r w:rsidR="00474EF8" w:rsidRPr="00F52EAA">
        <w:rPr>
          <w:rFonts w:ascii="Cambria" w:hAnsi="Cambria"/>
          <w:sz w:val="20"/>
          <w:szCs w:val="20"/>
          <w:lang w:val="es-ES"/>
        </w:rPr>
        <w:t>p</w:t>
      </w:r>
      <w:r w:rsidR="00474EF8">
        <w:rPr>
          <w:rFonts w:ascii="Cambria" w:hAnsi="Cambria"/>
          <w:sz w:val="20"/>
          <w:szCs w:val="20"/>
          <w:lang w:val="es-ES"/>
        </w:rPr>
        <w:t>er</w:t>
      </w:r>
      <w:r w:rsidR="00474EF8" w:rsidRPr="00F52EAA">
        <w:rPr>
          <w:rFonts w:ascii="Cambria" w:hAnsi="Cambria"/>
          <w:sz w:val="20"/>
          <w:szCs w:val="20"/>
          <w:lang w:val="es-ES"/>
        </w:rPr>
        <w:t xml:space="preserve">juicio </w:t>
      </w:r>
      <w:r w:rsidRPr="00F52EAA">
        <w:rPr>
          <w:rFonts w:ascii="Cambria" w:hAnsi="Cambria"/>
          <w:sz w:val="20"/>
          <w:szCs w:val="20"/>
          <w:lang w:val="es-ES"/>
        </w:rPr>
        <w:t>de</w:t>
      </w:r>
      <w:r w:rsidR="001F3F75" w:rsidRPr="00F52EAA">
        <w:rPr>
          <w:rFonts w:ascii="Cambria" w:hAnsi="Cambria"/>
          <w:sz w:val="20"/>
          <w:szCs w:val="20"/>
          <w:lang w:val="es-ES"/>
        </w:rPr>
        <w:t xml:space="preserve"> su hija, la </w:t>
      </w:r>
      <w:r w:rsidRPr="00F52EAA">
        <w:rPr>
          <w:rFonts w:ascii="Cambria" w:hAnsi="Cambria"/>
          <w:sz w:val="20"/>
          <w:szCs w:val="20"/>
          <w:lang w:val="es-ES"/>
        </w:rPr>
        <w:t>adolescente G.V.L.B</w:t>
      </w:r>
      <w:r w:rsidR="001F3F75" w:rsidRPr="00F52EAA">
        <w:rPr>
          <w:rFonts w:ascii="Cambria" w:hAnsi="Cambria"/>
          <w:sz w:val="20"/>
          <w:szCs w:val="20"/>
          <w:lang w:val="es-ES"/>
        </w:rPr>
        <w:t xml:space="preserve"> (</w:t>
      </w:r>
      <w:r w:rsidR="005C5A66" w:rsidRPr="00F52EAA">
        <w:rPr>
          <w:rFonts w:ascii="Cambria" w:hAnsi="Cambria"/>
          <w:sz w:val="20"/>
          <w:szCs w:val="20"/>
          <w:lang w:val="es-ES"/>
        </w:rPr>
        <w:t xml:space="preserve">en adelante </w:t>
      </w:r>
      <w:r w:rsidR="001F3F75" w:rsidRPr="00F52EAA">
        <w:rPr>
          <w:rFonts w:ascii="Cambria" w:hAnsi="Cambria"/>
          <w:sz w:val="20"/>
          <w:szCs w:val="20"/>
          <w:lang w:val="es-ES"/>
        </w:rPr>
        <w:t xml:space="preserve">también </w:t>
      </w:r>
      <w:r w:rsidR="005C5A66" w:rsidRPr="00F52EAA">
        <w:rPr>
          <w:rFonts w:ascii="Cambria" w:hAnsi="Cambria"/>
          <w:sz w:val="20"/>
          <w:szCs w:val="20"/>
          <w:lang w:val="es-ES"/>
        </w:rPr>
        <w:t>“</w:t>
      </w:r>
      <w:r w:rsidR="001F3F75" w:rsidRPr="00F52EAA">
        <w:rPr>
          <w:rFonts w:ascii="Cambria" w:hAnsi="Cambria"/>
          <w:sz w:val="20"/>
          <w:szCs w:val="20"/>
          <w:lang w:val="es-ES"/>
        </w:rPr>
        <w:t>la presunta víctima</w:t>
      </w:r>
      <w:r w:rsidR="005C5A66" w:rsidRPr="00F52EAA">
        <w:rPr>
          <w:rFonts w:ascii="Cambria" w:hAnsi="Cambria"/>
          <w:sz w:val="20"/>
          <w:szCs w:val="20"/>
          <w:lang w:val="es-ES"/>
        </w:rPr>
        <w:t>”</w:t>
      </w:r>
      <w:r w:rsidR="001F3F75" w:rsidRPr="00F52EAA">
        <w:rPr>
          <w:rFonts w:ascii="Cambria" w:hAnsi="Cambria"/>
          <w:sz w:val="20"/>
          <w:szCs w:val="20"/>
          <w:lang w:val="es-ES"/>
        </w:rPr>
        <w:t>)</w:t>
      </w:r>
      <w:r w:rsidRPr="00F52EAA">
        <w:rPr>
          <w:rFonts w:ascii="Cambria" w:hAnsi="Cambria"/>
          <w:sz w:val="20"/>
          <w:szCs w:val="20"/>
          <w:lang w:val="es-ES"/>
        </w:rPr>
        <w:t>,</w:t>
      </w:r>
      <w:r w:rsidRPr="00F52EAA">
        <w:rPr>
          <w:rStyle w:val="FootnoteReference"/>
          <w:rFonts w:ascii="Cambria" w:hAnsi="Cambria"/>
          <w:sz w:val="20"/>
          <w:szCs w:val="20"/>
          <w:lang w:val="es-ES"/>
        </w:rPr>
        <w:footnoteReference w:id="6"/>
      </w:r>
      <w:r w:rsidR="001F3F75" w:rsidRPr="00F52EAA">
        <w:rPr>
          <w:rFonts w:ascii="Cambria" w:hAnsi="Cambria"/>
          <w:sz w:val="20"/>
          <w:szCs w:val="20"/>
          <w:lang w:val="es-ES"/>
        </w:rPr>
        <w:t xml:space="preserve"> </w:t>
      </w:r>
      <w:r w:rsidR="00B57E0E" w:rsidRPr="00F52EAA">
        <w:rPr>
          <w:rFonts w:ascii="Cambria" w:hAnsi="Cambria"/>
          <w:sz w:val="20"/>
          <w:szCs w:val="20"/>
          <w:lang w:val="es-ES"/>
        </w:rPr>
        <w:t xml:space="preserve">su honra y dignidad, así como el derecho a </w:t>
      </w:r>
      <w:r w:rsidR="002E601F" w:rsidRPr="00F52EAA">
        <w:rPr>
          <w:rFonts w:ascii="Cambria" w:hAnsi="Cambria"/>
          <w:sz w:val="20"/>
          <w:szCs w:val="20"/>
          <w:lang w:val="es-ES"/>
        </w:rPr>
        <w:t>r</w:t>
      </w:r>
      <w:r w:rsidR="002E601F">
        <w:rPr>
          <w:rFonts w:ascii="Cambria" w:hAnsi="Cambria"/>
          <w:sz w:val="20"/>
          <w:szCs w:val="20"/>
          <w:lang w:val="es-ES"/>
        </w:rPr>
        <w:t>ec</w:t>
      </w:r>
      <w:r w:rsidR="002E601F" w:rsidRPr="00F52EAA">
        <w:rPr>
          <w:rFonts w:ascii="Cambria" w:hAnsi="Cambria"/>
          <w:sz w:val="20"/>
          <w:szCs w:val="20"/>
          <w:lang w:val="es-ES"/>
        </w:rPr>
        <w:t xml:space="preserve">tificación </w:t>
      </w:r>
      <w:r w:rsidR="00B57E0E" w:rsidRPr="00F52EAA">
        <w:rPr>
          <w:rFonts w:ascii="Cambria" w:hAnsi="Cambria"/>
          <w:sz w:val="20"/>
          <w:szCs w:val="20"/>
          <w:lang w:val="es-ES"/>
        </w:rPr>
        <w:t xml:space="preserve">o respuesta, toda vez que el personal del “Instituto Bilingüe Milenio”, del cual ella hacia parte, la obligó a desnudarse con el fin de verificar si </w:t>
      </w:r>
      <w:r w:rsidR="001F3F75" w:rsidRPr="00F52EAA">
        <w:rPr>
          <w:rFonts w:ascii="Cambria" w:hAnsi="Cambria"/>
          <w:sz w:val="20"/>
          <w:szCs w:val="20"/>
          <w:lang w:val="es-ES"/>
        </w:rPr>
        <w:t xml:space="preserve">llevaba consigo </w:t>
      </w:r>
      <w:r w:rsidR="00B57E0E" w:rsidRPr="00F52EAA">
        <w:rPr>
          <w:rFonts w:ascii="Cambria" w:hAnsi="Cambria"/>
          <w:sz w:val="20"/>
          <w:szCs w:val="20"/>
          <w:lang w:val="es-ES"/>
        </w:rPr>
        <w:t>drogas.</w:t>
      </w:r>
      <w:r w:rsidR="005C5A66" w:rsidRPr="00F52EAA">
        <w:rPr>
          <w:lang w:val="es-AR"/>
        </w:rPr>
        <w:t xml:space="preserve"> </w:t>
      </w:r>
      <w:r w:rsidR="005C5A66" w:rsidRPr="00F52EAA">
        <w:rPr>
          <w:rFonts w:ascii="Cambria" w:hAnsi="Cambria"/>
          <w:sz w:val="20"/>
          <w:szCs w:val="20"/>
          <w:lang w:val="es-ES"/>
        </w:rPr>
        <w:t>La peticionaria aduce que esta actuación habría sido filmada y que habría sido a su vez divulgada en medio locales.</w:t>
      </w:r>
    </w:p>
    <w:p w14:paraId="5C6CE2B4" w14:textId="278D7F65" w:rsidR="00E74AC9" w:rsidRDefault="00B57E0E" w:rsidP="00E74A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F52EAA">
        <w:rPr>
          <w:rFonts w:ascii="Cambria" w:hAnsi="Cambria"/>
          <w:sz w:val="20"/>
          <w:szCs w:val="20"/>
          <w:lang w:val="es-ES"/>
        </w:rPr>
        <w:t xml:space="preserve">La </w:t>
      </w:r>
      <w:r w:rsidR="00103938" w:rsidRPr="00F52EAA">
        <w:rPr>
          <w:rFonts w:ascii="Cambria" w:hAnsi="Cambria"/>
          <w:sz w:val="20"/>
          <w:szCs w:val="20"/>
          <w:lang w:val="es-ES"/>
        </w:rPr>
        <w:t xml:space="preserve">peticionaria sostiene que </w:t>
      </w:r>
      <w:r w:rsidR="009D5688" w:rsidRPr="00F52EAA">
        <w:rPr>
          <w:rFonts w:ascii="Cambria" w:hAnsi="Cambria"/>
          <w:sz w:val="20"/>
          <w:szCs w:val="20"/>
          <w:lang w:val="es-ES"/>
        </w:rPr>
        <w:t>el 13 de mayo de 2009</w:t>
      </w:r>
      <w:r w:rsidR="005C5A66" w:rsidRPr="00F52EAA">
        <w:rPr>
          <w:rFonts w:ascii="Cambria" w:hAnsi="Cambria"/>
          <w:sz w:val="20"/>
          <w:szCs w:val="20"/>
          <w:lang w:val="es-ES"/>
        </w:rPr>
        <w:t xml:space="preserve"> la</w:t>
      </w:r>
      <w:r w:rsidR="009D5688" w:rsidRPr="00F52EAA">
        <w:rPr>
          <w:rFonts w:ascii="Cambria" w:hAnsi="Cambria"/>
          <w:sz w:val="20"/>
          <w:szCs w:val="20"/>
          <w:lang w:val="es-ES"/>
        </w:rPr>
        <w:t xml:space="preserve"> </w:t>
      </w:r>
      <w:r w:rsidRPr="00F52EAA">
        <w:rPr>
          <w:rFonts w:ascii="Cambria" w:hAnsi="Cambria"/>
          <w:sz w:val="20"/>
          <w:szCs w:val="20"/>
          <w:lang w:val="es-ES"/>
        </w:rPr>
        <w:t>presunta víctim</w:t>
      </w:r>
      <w:r w:rsidR="00103938" w:rsidRPr="00F52EAA">
        <w:rPr>
          <w:rFonts w:ascii="Cambria" w:hAnsi="Cambria"/>
          <w:sz w:val="20"/>
          <w:szCs w:val="20"/>
          <w:lang w:val="es-ES"/>
        </w:rPr>
        <w:t xml:space="preserve">a, </w:t>
      </w:r>
      <w:r w:rsidRPr="00F52EAA">
        <w:rPr>
          <w:rFonts w:ascii="Cambria" w:hAnsi="Cambria"/>
          <w:sz w:val="20"/>
          <w:szCs w:val="20"/>
          <w:lang w:val="es-ES"/>
        </w:rPr>
        <w:t>entonces con</w:t>
      </w:r>
      <w:r w:rsidR="009D5688" w:rsidRPr="00F52EAA">
        <w:rPr>
          <w:rFonts w:ascii="Cambria" w:hAnsi="Cambria"/>
          <w:sz w:val="20"/>
          <w:szCs w:val="20"/>
          <w:lang w:val="es-ES"/>
        </w:rPr>
        <w:t xml:space="preserve"> </w:t>
      </w:r>
      <w:r w:rsidR="00103938" w:rsidRPr="00F52EAA">
        <w:rPr>
          <w:rFonts w:ascii="Cambria" w:hAnsi="Cambria"/>
          <w:sz w:val="20"/>
          <w:szCs w:val="20"/>
          <w:lang w:val="es-ES"/>
        </w:rPr>
        <w:t xml:space="preserve">14 años </w:t>
      </w:r>
      <w:r w:rsidR="00143927" w:rsidRPr="00F52EAA">
        <w:rPr>
          <w:rFonts w:ascii="Cambria" w:hAnsi="Cambria"/>
          <w:sz w:val="20"/>
          <w:szCs w:val="20"/>
          <w:lang w:val="es-ES"/>
        </w:rPr>
        <w:t>de edad</w:t>
      </w:r>
      <w:r w:rsidR="007B1129" w:rsidRPr="00F52EAA">
        <w:rPr>
          <w:rFonts w:ascii="Cambria" w:hAnsi="Cambria"/>
          <w:sz w:val="20"/>
          <w:szCs w:val="20"/>
          <w:lang w:val="es-ES"/>
        </w:rPr>
        <w:t>, empezó a estudiar en el Instituto Bilingüe Milenio,</w:t>
      </w:r>
      <w:r w:rsidR="00E74AC9" w:rsidRPr="00F52EAA">
        <w:rPr>
          <w:rFonts w:ascii="Cambria" w:hAnsi="Cambria"/>
          <w:sz w:val="20"/>
          <w:szCs w:val="20"/>
          <w:lang w:val="es-ES"/>
        </w:rPr>
        <w:t xml:space="preserve"> institución privada de enseñ</w:t>
      </w:r>
      <w:r w:rsidR="005C5A66" w:rsidRPr="00F52EAA">
        <w:rPr>
          <w:rFonts w:ascii="Cambria" w:hAnsi="Cambria"/>
          <w:sz w:val="20"/>
          <w:szCs w:val="20"/>
          <w:lang w:val="es-ES"/>
        </w:rPr>
        <w:t>anza de</w:t>
      </w:r>
      <w:r w:rsidR="007B1129" w:rsidRPr="00F52EAA">
        <w:rPr>
          <w:rFonts w:ascii="Cambria" w:hAnsi="Cambria"/>
          <w:sz w:val="20"/>
          <w:szCs w:val="20"/>
          <w:lang w:val="es-ES"/>
        </w:rPr>
        <w:t xml:space="preserve"> la Ciudad de Sa</w:t>
      </w:r>
      <w:r w:rsidR="005C5A66" w:rsidRPr="00F52EAA">
        <w:rPr>
          <w:rFonts w:ascii="Cambria" w:hAnsi="Cambria"/>
          <w:sz w:val="20"/>
          <w:szCs w:val="20"/>
          <w:lang w:val="es-ES"/>
        </w:rPr>
        <w:t xml:space="preserve">n Miguel de Allende, Guanajuato. Aduce que en </w:t>
      </w:r>
      <w:r w:rsidR="007B1129" w:rsidRPr="00F52EAA">
        <w:rPr>
          <w:rFonts w:ascii="Cambria" w:hAnsi="Cambria"/>
          <w:sz w:val="20"/>
          <w:szCs w:val="20"/>
          <w:lang w:val="es-ES"/>
        </w:rPr>
        <w:t xml:space="preserve">sus primeros días </w:t>
      </w:r>
      <w:r w:rsidR="005C5A66" w:rsidRPr="00F52EAA">
        <w:rPr>
          <w:rFonts w:ascii="Cambria" w:hAnsi="Cambria"/>
          <w:sz w:val="20"/>
          <w:szCs w:val="20"/>
          <w:lang w:val="es-ES"/>
        </w:rPr>
        <w:t xml:space="preserve">en la institución </w:t>
      </w:r>
      <w:r w:rsidR="007B1129" w:rsidRPr="00F52EAA">
        <w:rPr>
          <w:rFonts w:ascii="Cambria" w:hAnsi="Cambria"/>
          <w:sz w:val="20"/>
          <w:szCs w:val="20"/>
          <w:lang w:val="es-ES"/>
        </w:rPr>
        <w:t xml:space="preserve">fue acusada </w:t>
      </w:r>
      <w:r w:rsidR="007B1129" w:rsidRPr="007B1129">
        <w:rPr>
          <w:rFonts w:ascii="Cambria" w:hAnsi="Cambria"/>
          <w:sz w:val="20"/>
          <w:szCs w:val="20"/>
          <w:lang w:val="es-ES"/>
        </w:rPr>
        <w:t>de</w:t>
      </w:r>
      <w:r w:rsidR="007B1129">
        <w:rPr>
          <w:rFonts w:ascii="Cambria" w:hAnsi="Cambria"/>
          <w:sz w:val="20"/>
          <w:szCs w:val="20"/>
          <w:lang w:val="es-ES"/>
        </w:rPr>
        <w:t xml:space="preserve"> consumir y vender drogas</w:t>
      </w:r>
      <w:r w:rsidR="009D5688">
        <w:rPr>
          <w:rFonts w:ascii="Cambria" w:hAnsi="Cambria"/>
          <w:sz w:val="20"/>
          <w:szCs w:val="20"/>
          <w:lang w:val="es-ES"/>
        </w:rPr>
        <w:t>. En vista de lo anterior,</w:t>
      </w:r>
      <w:r w:rsidR="00143927">
        <w:rPr>
          <w:rFonts w:ascii="Cambria" w:hAnsi="Cambria"/>
          <w:sz w:val="20"/>
          <w:szCs w:val="20"/>
          <w:lang w:val="es-ES"/>
        </w:rPr>
        <w:t xml:space="preserve"> </w:t>
      </w:r>
      <w:r w:rsidR="005C5A66">
        <w:rPr>
          <w:rFonts w:ascii="Cambria" w:hAnsi="Cambria"/>
          <w:sz w:val="20"/>
          <w:szCs w:val="20"/>
          <w:lang w:val="es-ES"/>
        </w:rPr>
        <w:t>el Director de dicho</w:t>
      </w:r>
      <w:r w:rsidR="007B1129">
        <w:rPr>
          <w:rFonts w:ascii="Cambria" w:hAnsi="Cambria"/>
          <w:sz w:val="20"/>
          <w:szCs w:val="20"/>
          <w:lang w:val="es-ES"/>
        </w:rPr>
        <w:t xml:space="preserve"> </w:t>
      </w:r>
      <w:r w:rsidR="005C5A66">
        <w:rPr>
          <w:rFonts w:ascii="Cambria" w:hAnsi="Cambria"/>
          <w:sz w:val="20"/>
          <w:szCs w:val="20"/>
          <w:lang w:val="es-ES"/>
        </w:rPr>
        <w:t xml:space="preserve">instituto </w:t>
      </w:r>
      <w:r w:rsidR="005969EB">
        <w:rPr>
          <w:rFonts w:ascii="Cambria" w:hAnsi="Cambria"/>
          <w:sz w:val="20"/>
          <w:szCs w:val="20"/>
          <w:lang w:val="es-ES"/>
        </w:rPr>
        <w:t>la someti</w:t>
      </w:r>
      <w:r w:rsidR="009D5688">
        <w:rPr>
          <w:rFonts w:ascii="Cambria" w:hAnsi="Cambria"/>
          <w:sz w:val="20"/>
          <w:szCs w:val="20"/>
          <w:lang w:val="es-ES"/>
        </w:rPr>
        <w:t>ó</w:t>
      </w:r>
      <w:r w:rsidR="007B1129">
        <w:rPr>
          <w:rFonts w:ascii="Cambria" w:hAnsi="Cambria"/>
          <w:sz w:val="20"/>
          <w:szCs w:val="20"/>
          <w:lang w:val="es-ES"/>
        </w:rPr>
        <w:t xml:space="preserve"> </w:t>
      </w:r>
      <w:r w:rsidR="005969EB">
        <w:rPr>
          <w:rFonts w:ascii="Cambria" w:hAnsi="Cambria"/>
          <w:sz w:val="20"/>
          <w:szCs w:val="20"/>
          <w:lang w:val="es-ES"/>
        </w:rPr>
        <w:t xml:space="preserve">a </w:t>
      </w:r>
      <w:r w:rsidR="007B1129">
        <w:rPr>
          <w:rFonts w:ascii="Cambria" w:hAnsi="Cambria"/>
          <w:sz w:val="20"/>
          <w:szCs w:val="20"/>
          <w:lang w:val="es-ES"/>
        </w:rPr>
        <w:t>un</w:t>
      </w:r>
      <w:r w:rsidR="005969EB">
        <w:rPr>
          <w:rFonts w:ascii="Cambria" w:hAnsi="Cambria"/>
          <w:sz w:val="20"/>
          <w:szCs w:val="20"/>
          <w:lang w:val="es-ES"/>
        </w:rPr>
        <w:t>a</w:t>
      </w:r>
      <w:r w:rsidR="007B1129">
        <w:rPr>
          <w:rFonts w:ascii="Cambria" w:hAnsi="Cambria"/>
          <w:sz w:val="20"/>
          <w:szCs w:val="20"/>
          <w:lang w:val="es-ES"/>
        </w:rPr>
        <w:t xml:space="preserve"> revisión, sin la presencia </w:t>
      </w:r>
      <w:r w:rsidR="007B1129">
        <w:rPr>
          <w:rFonts w:ascii="Cambria" w:hAnsi="Cambria"/>
          <w:sz w:val="20"/>
          <w:szCs w:val="20"/>
          <w:lang w:val="es-ES"/>
        </w:rPr>
        <w:lastRenderedPageBreak/>
        <w:t xml:space="preserve">de sus </w:t>
      </w:r>
      <w:r w:rsidR="009D5688">
        <w:rPr>
          <w:rFonts w:ascii="Cambria" w:hAnsi="Cambria"/>
          <w:sz w:val="20"/>
          <w:szCs w:val="20"/>
          <w:lang w:val="es-ES"/>
        </w:rPr>
        <w:t xml:space="preserve">progenitores </w:t>
      </w:r>
      <w:r w:rsidR="005969EB">
        <w:rPr>
          <w:rFonts w:ascii="Cambria" w:hAnsi="Cambria"/>
          <w:sz w:val="20"/>
          <w:szCs w:val="20"/>
          <w:lang w:val="es-ES"/>
        </w:rPr>
        <w:t>o</w:t>
      </w:r>
      <w:r w:rsidR="009D5688">
        <w:rPr>
          <w:rFonts w:ascii="Cambria" w:hAnsi="Cambria"/>
          <w:sz w:val="20"/>
          <w:szCs w:val="20"/>
          <w:lang w:val="es-ES"/>
        </w:rPr>
        <w:t xml:space="preserve"> de persona </w:t>
      </w:r>
      <w:r w:rsidR="007B1129">
        <w:rPr>
          <w:rFonts w:ascii="Cambria" w:hAnsi="Cambria"/>
          <w:sz w:val="20"/>
          <w:szCs w:val="20"/>
          <w:lang w:val="es-ES"/>
        </w:rPr>
        <w:t>responsable</w:t>
      </w:r>
      <w:r w:rsidR="00E74AC9">
        <w:rPr>
          <w:rFonts w:ascii="Cambria" w:hAnsi="Cambria"/>
          <w:sz w:val="20"/>
          <w:szCs w:val="20"/>
          <w:lang w:val="es-ES"/>
        </w:rPr>
        <w:t>,</w:t>
      </w:r>
      <w:r w:rsidR="009D5688">
        <w:rPr>
          <w:rFonts w:ascii="Cambria" w:hAnsi="Cambria"/>
          <w:sz w:val="20"/>
          <w:szCs w:val="20"/>
          <w:lang w:val="es-ES"/>
        </w:rPr>
        <w:t xml:space="preserve"> frente a</w:t>
      </w:r>
      <w:r w:rsidR="005969EB">
        <w:rPr>
          <w:rFonts w:ascii="Cambria" w:hAnsi="Cambria"/>
          <w:sz w:val="20"/>
          <w:szCs w:val="20"/>
          <w:lang w:val="es-ES"/>
        </w:rPr>
        <w:t>l</w:t>
      </w:r>
      <w:r w:rsidR="009D5688">
        <w:rPr>
          <w:rFonts w:ascii="Cambria" w:hAnsi="Cambria"/>
          <w:sz w:val="20"/>
          <w:szCs w:val="20"/>
          <w:lang w:val="es-ES"/>
        </w:rPr>
        <w:t xml:space="preserve"> personal del establecimiento</w:t>
      </w:r>
      <w:r w:rsidR="007B1129">
        <w:rPr>
          <w:rFonts w:ascii="Cambria" w:hAnsi="Cambria"/>
          <w:sz w:val="20"/>
          <w:szCs w:val="20"/>
          <w:lang w:val="es-ES"/>
        </w:rPr>
        <w:t xml:space="preserve">, obligándola a desnudarse para </w:t>
      </w:r>
      <w:r w:rsidR="005C5A66">
        <w:rPr>
          <w:rFonts w:ascii="Cambria" w:hAnsi="Cambria"/>
          <w:sz w:val="20"/>
          <w:szCs w:val="20"/>
          <w:lang w:val="es-ES"/>
        </w:rPr>
        <w:t>ver si</w:t>
      </w:r>
      <w:r w:rsidR="007B1129">
        <w:rPr>
          <w:rFonts w:ascii="Cambria" w:hAnsi="Cambria"/>
          <w:sz w:val="20"/>
          <w:szCs w:val="20"/>
          <w:lang w:val="es-ES"/>
        </w:rPr>
        <w:t xml:space="preserve"> </w:t>
      </w:r>
      <w:r w:rsidR="009D5688">
        <w:rPr>
          <w:rFonts w:ascii="Cambria" w:hAnsi="Cambria"/>
          <w:sz w:val="20"/>
          <w:szCs w:val="20"/>
          <w:lang w:val="es-ES"/>
        </w:rPr>
        <w:t xml:space="preserve">tenía </w:t>
      </w:r>
      <w:r w:rsidR="007B1129">
        <w:rPr>
          <w:rFonts w:ascii="Cambria" w:hAnsi="Cambria"/>
          <w:sz w:val="20"/>
          <w:szCs w:val="20"/>
          <w:lang w:val="es-ES"/>
        </w:rPr>
        <w:t xml:space="preserve">alguna droga en su ropa. Afirma que esa acción fue grabada con una cámara de video por parte de personal de la </w:t>
      </w:r>
      <w:r w:rsidR="005C5A66">
        <w:rPr>
          <w:rFonts w:ascii="Cambria" w:hAnsi="Cambria"/>
          <w:sz w:val="20"/>
          <w:szCs w:val="20"/>
          <w:lang w:val="es-ES"/>
        </w:rPr>
        <w:t>institución</w:t>
      </w:r>
      <w:r w:rsidR="009D5688">
        <w:rPr>
          <w:rFonts w:ascii="Cambria" w:hAnsi="Cambria"/>
          <w:sz w:val="20"/>
          <w:szCs w:val="20"/>
          <w:lang w:val="es-ES"/>
        </w:rPr>
        <w:t>,</w:t>
      </w:r>
      <w:r w:rsidR="009846AE">
        <w:rPr>
          <w:rFonts w:ascii="Cambria" w:hAnsi="Cambria"/>
          <w:sz w:val="20"/>
          <w:szCs w:val="20"/>
          <w:lang w:val="es-ES"/>
        </w:rPr>
        <w:t xml:space="preserve"> qu</w:t>
      </w:r>
      <w:r w:rsidR="009D5688">
        <w:rPr>
          <w:rFonts w:ascii="Cambria" w:hAnsi="Cambria"/>
          <w:sz w:val="20"/>
          <w:szCs w:val="20"/>
          <w:lang w:val="es-ES"/>
        </w:rPr>
        <w:t>i</w:t>
      </w:r>
      <w:r w:rsidR="009846AE">
        <w:rPr>
          <w:rFonts w:ascii="Cambria" w:hAnsi="Cambria"/>
          <w:sz w:val="20"/>
          <w:szCs w:val="20"/>
          <w:lang w:val="es-ES"/>
        </w:rPr>
        <w:t>e</w:t>
      </w:r>
      <w:r w:rsidR="009D5688">
        <w:rPr>
          <w:rFonts w:ascii="Cambria" w:hAnsi="Cambria"/>
          <w:sz w:val="20"/>
          <w:szCs w:val="20"/>
          <w:lang w:val="es-ES"/>
        </w:rPr>
        <w:t xml:space="preserve">nes a su vez </w:t>
      </w:r>
      <w:r w:rsidR="009846AE">
        <w:rPr>
          <w:rFonts w:ascii="Cambria" w:hAnsi="Cambria"/>
          <w:sz w:val="20"/>
          <w:szCs w:val="20"/>
          <w:lang w:val="es-ES"/>
        </w:rPr>
        <w:t>obligar</w:t>
      </w:r>
      <w:r w:rsidR="009D5688">
        <w:rPr>
          <w:rFonts w:ascii="Cambria" w:hAnsi="Cambria"/>
          <w:sz w:val="20"/>
          <w:szCs w:val="20"/>
          <w:lang w:val="es-ES"/>
        </w:rPr>
        <w:t xml:space="preserve">on </w:t>
      </w:r>
      <w:r w:rsidR="009846AE">
        <w:rPr>
          <w:rFonts w:ascii="Cambria" w:hAnsi="Cambria"/>
          <w:sz w:val="20"/>
          <w:szCs w:val="20"/>
          <w:lang w:val="es-ES"/>
        </w:rPr>
        <w:t>a la presunta víctima a entregar su celular.</w:t>
      </w:r>
      <w:r w:rsidR="00D47FCE">
        <w:rPr>
          <w:rFonts w:ascii="Cambria" w:hAnsi="Cambria"/>
          <w:sz w:val="20"/>
          <w:szCs w:val="20"/>
          <w:lang w:val="es-ES"/>
        </w:rPr>
        <w:t xml:space="preserve"> </w:t>
      </w:r>
      <w:r w:rsidR="005969EB">
        <w:rPr>
          <w:rFonts w:ascii="Cambria" w:hAnsi="Cambria"/>
          <w:sz w:val="20"/>
          <w:szCs w:val="20"/>
          <w:lang w:val="es-ES"/>
        </w:rPr>
        <w:t xml:space="preserve">Alega que los hechos </w:t>
      </w:r>
      <w:r w:rsidR="00143927">
        <w:rPr>
          <w:rFonts w:ascii="Cambria" w:hAnsi="Cambria"/>
          <w:sz w:val="20"/>
          <w:szCs w:val="20"/>
          <w:lang w:val="es-ES"/>
        </w:rPr>
        <w:t>habían</w:t>
      </w:r>
      <w:r w:rsidR="005969EB">
        <w:rPr>
          <w:rFonts w:ascii="Cambria" w:hAnsi="Cambria"/>
          <w:sz w:val="20"/>
          <w:szCs w:val="20"/>
          <w:lang w:val="es-ES"/>
        </w:rPr>
        <w:t xml:space="preserve"> sido difundidos en los medios de comunicación local y habría sido subido al Internet. </w:t>
      </w:r>
    </w:p>
    <w:p w14:paraId="65407DA4" w14:textId="1137CC20" w:rsidR="00C725BE" w:rsidRPr="00641413" w:rsidRDefault="00143927" w:rsidP="006414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74AC9">
        <w:rPr>
          <w:rFonts w:ascii="Cambria" w:hAnsi="Cambria"/>
          <w:sz w:val="20"/>
          <w:szCs w:val="20"/>
          <w:lang w:val="es-ES"/>
        </w:rPr>
        <w:t>Frente a estos hechos,</w:t>
      </w:r>
      <w:r w:rsidR="005C5A66">
        <w:rPr>
          <w:rFonts w:ascii="Cambria" w:hAnsi="Cambria"/>
          <w:sz w:val="20"/>
          <w:szCs w:val="20"/>
          <w:lang w:val="es-ES"/>
        </w:rPr>
        <w:t xml:space="preserve"> la parte peticionaria </w:t>
      </w:r>
      <w:r w:rsidRPr="00E74AC9">
        <w:rPr>
          <w:rFonts w:ascii="Cambria" w:hAnsi="Cambria"/>
          <w:sz w:val="20"/>
          <w:szCs w:val="20"/>
          <w:lang w:val="es-ES"/>
        </w:rPr>
        <w:t>presentó denuncia</w:t>
      </w:r>
      <w:r w:rsidR="00C725BE" w:rsidRPr="00E74AC9">
        <w:rPr>
          <w:rFonts w:ascii="Cambria" w:hAnsi="Cambria"/>
          <w:sz w:val="20"/>
          <w:szCs w:val="20"/>
          <w:lang w:val="es-ES"/>
        </w:rPr>
        <w:t xml:space="preserve"> penal </w:t>
      </w:r>
      <w:r w:rsidR="005969EB" w:rsidRPr="00E74AC9">
        <w:rPr>
          <w:rFonts w:ascii="Cambria" w:hAnsi="Cambria"/>
          <w:sz w:val="20"/>
          <w:szCs w:val="20"/>
          <w:lang w:val="es-ES"/>
        </w:rPr>
        <w:t xml:space="preserve">ante el Ministerio </w:t>
      </w:r>
      <w:r w:rsidR="000B68E1" w:rsidRPr="00E74AC9">
        <w:rPr>
          <w:rFonts w:ascii="Cambria" w:hAnsi="Cambria"/>
          <w:sz w:val="20"/>
          <w:szCs w:val="20"/>
          <w:lang w:val="es-ES"/>
        </w:rPr>
        <w:t>Público</w:t>
      </w:r>
      <w:r w:rsidR="005969EB" w:rsidRPr="00E74AC9">
        <w:rPr>
          <w:rFonts w:ascii="Cambria" w:hAnsi="Cambria"/>
          <w:sz w:val="20"/>
          <w:szCs w:val="20"/>
          <w:lang w:val="es-ES"/>
        </w:rPr>
        <w:t xml:space="preserve"> de San Miguel de Allen</w:t>
      </w:r>
      <w:r w:rsidR="002E601F">
        <w:rPr>
          <w:rFonts w:ascii="Cambria" w:hAnsi="Cambria"/>
          <w:sz w:val="20"/>
          <w:szCs w:val="20"/>
          <w:lang w:val="es-ES"/>
        </w:rPr>
        <w:t>d</w:t>
      </w:r>
      <w:r w:rsidR="00B31976" w:rsidRPr="00E74AC9">
        <w:rPr>
          <w:rFonts w:ascii="Cambria" w:hAnsi="Cambria"/>
          <w:sz w:val="20"/>
          <w:szCs w:val="20"/>
          <w:lang w:val="es-ES"/>
        </w:rPr>
        <w:t>e, Guana</w:t>
      </w:r>
      <w:r w:rsidR="002E601F">
        <w:rPr>
          <w:rFonts w:ascii="Cambria" w:hAnsi="Cambria"/>
          <w:sz w:val="20"/>
          <w:szCs w:val="20"/>
          <w:lang w:val="es-ES"/>
        </w:rPr>
        <w:t>j</w:t>
      </w:r>
      <w:r w:rsidR="00B31976" w:rsidRPr="00E74AC9">
        <w:rPr>
          <w:rFonts w:ascii="Cambria" w:hAnsi="Cambria"/>
          <w:sz w:val="20"/>
          <w:szCs w:val="20"/>
          <w:lang w:val="es-ES"/>
        </w:rPr>
        <w:t xml:space="preserve">uato </w:t>
      </w:r>
      <w:r w:rsidR="00C725BE" w:rsidRPr="00E74AC9">
        <w:rPr>
          <w:rFonts w:ascii="Cambria" w:hAnsi="Cambria"/>
          <w:sz w:val="20"/>
          <w:szCs w:val="20"/>
          <w:lang w:val="es-ES"/>
        </w:rPr>
        <w:t>por el delito de difamación, según el artículo 189 del Código Penal del Estado de Guanajuato</w:t>
      </w:r>
      <w:r w:rsidR="00B31976" w:rsidRPr="00E74AC9">
        <w:rPr>
          <w:rFonts w:ascii="Cambria" w:hAnsi="Cambria"/>
          <w:sz w:val="20"/>
          <w:szCs w:val="20"/>
          <w:lang w:val="es-ES"/>
        </w:rPr>
        <w:t>. Se informa que habría tratado de llegar a un acuerdo conciliatorio a petición de la Agencia Investigadora del Ministerio Público, sin conseguir resultados, ya que la peticionaria habría solici</w:t>
      </w:r>
      <w:r w:rsidR="001B791B">
        <w:rPr>
          <w:rFonts w:ascii="Cambria" w:hAnsi="Cambria"/>
          <w:sz w:val="20"/>
          <w:szCs w:val="20"/>
          <w:lang w:val="es-ES"/>
        </w:rPr>
        <w:t>tado que el director del Instituto</w:t>
      </w:r>
      <w:r w:rsidR="00B31976" w:rsidRPr="00E74AC9">
        <w:rPr>
          <w:rFonts w:ascii="Cambria" w:hAnsi="Cambria"/>
          <w:sz w:val="20"/>
          <w:szCs w:val="20"/>
          <w:lang w:val="es-ES"/>
        </w:rPr>
        <w:t xml:space="preserve"> realizara una junta y ofreciera disculpas públicamente, pero éste se habría negado. </w:t>
      </w:r>
      <w:r w:rsidR="001B791B">
        <w:rPr>
          <w:rFonts w:ascii="Cambria" w:hAnsi="Cambria"/>
          <w:sz w:val="20"/>
          <w:szCs w:val="20"/>
          <w:lang w:val="es-ES"/>
        </w:rPr>
        <w:t>La parte peticionaria indica que e</w:t>
      </w:r>
      <w:r w:rsidR="00B31976" w:rsidRPr="00E74AC9">
        <w:rPr>
          <w:rFonts w:ascii="Cambria" w:hAnsi="Cambria"/>
          <w:sz w:val="20"/>
          <w:szCs w:val="20"/>
          <w:lang w:val="es-ES"/>
        </w:rPr>
        <w:t>l Ministerio P</w:t>
      </w:r>
      <w:r w:rsidR="001B791B">
        <w:rPr>
          <w:rFonts w:ascii="Cambria" w:hAnsi="Cambria"/>
          <w:sz w:val="20"/>
          <w:szCs w:val="20"/>
          <w:lang w:val="es-ES"/>
        </w:rPr>
        <w:t>ú</w:t>
      </w:r>
      <w:r w:rsidR="00B31976" w:rsidRPr="00E74AC9">
        <w:rPr>
          <w:rFonts w:ascii="Cambria" w:hAnsi="Cambria"/>
          <w:sz w:val="20"/>
          <w:szCs w:val="20"/>
          <w:lang w:val="es-ES"/>
        </w:rPr>
        <w:t xml:space="preserve">blico </w:t>
      </w:r>
      <w:r w:rsidR="00960BAB">
        <w:rPr>
          <w:rFonts w:ascii="Cambria" w:hAnsi="Cambria"/>
          <w:sz w:val="20"/>
          <w:szCs w:val="20"/>
          <w:lang w:val="es-ES"/>
        </w:rPr>
        <w:t>decretó</w:t>
      </w:r>
      <w:r w:rsidR="001B791B">
        <w:rPr>
          <w:rFonts w:ascii="Cambria" w:hAnsi="Cambria"/>
          <w:sz w:val="20"/>
          <w:szCs w:val="20"/>
          <w:lang w:val="es-ES"/>
        </w:rPr>
        <w:t xml:space="preserve"> el archivo del proceso. </w:t>
      </w:r>
      <w:r w:rsidR="00C725BE" w:rsidRPr="00E74AC9">
        <w:rPr>
          <w:rFonts w:ascii="Cambria" w:hAnsi="Cambria"/>
          <w:sz w:val="20"/>
          <w:szCs w:val="20"/>
          <w:lang w:val="es-ES"/>
        </w:rPr>
        <w:t xml:space="preserve"> </w:t>
      </w:r>
      <w:r w:rsidR="001E0CC8" w:rsidRPr="00641413">
        <w:rPr>
          <w:rFonts w:ascii="Cambria" w:hAnsi="Cambria"/>
          <w:sz w:val="20"/>
          <w:szCs w:val="20"/>
          <w:lang w:val="es-ES"/>
        </w:rPr>
        <w:t xml:space="preserve">Asimismo, alega que </w:t>
      </w:r>
      <w:r w:rsidR="001B791B">
        <w:rPr>
          <w:rFonts w:ascii="Cambria" w:hAnsi="Cambria"/>
          <w:sz w:val="20"/>
          <w:szCs w:val="20"/>
          <w:lang w:val="es-ES"/>
        </w:rPr>
        <w:t>radicó</w:t>
      </w:r>
      <w:r w:rsidR="001E0CC8" w:rsidRPr="00641413">
        <w:rPr>
          <w:rFonts w:ascii="Cambria" w:hAnsi="Cambria"/>
          <w:sz w:val="20"/>
          <w:szCs w:val="20"/>
          <w:lang w:val="es-ES"/>
        </w:rPr>
        <w:t xml:space="preserve"> denuncia en la Agencia del Ministerio Público Investigadora I del Fuero Común, en la ciudad de San Miguel de Allende, bajo el No. 321/2009</w:t>
      </w:r>
      <w:r w:rsidR="001E26B2" w:rsidRPr="00641413">
        <w:rPr>
          <w:rFonts w:ascii="Cambria" w:hAnsi="Cambria"/>
          <w:sz w:val="20"/>
          <w:szCs w:val="20"/>
          <w:lang w:val="es-ES"/>
        </w:rPr>
        <w:t xml:space="preserve">, y que también </w:t>
      </w:r>
      <w:r w:rsidR="001B791B">
        <w:rPr>
          <w:rFonts w:ascii="Cambria" w:hAnsi="Cambria"/>
          <w:sz w:val="20"/>
          <w:szCs w:val="20"/>
          <w:lang w:val="es-ES"/>
        </w:rPr>
        <w:t xml:space="preserve">denunció la situación </w:t>
      </w:r>
      <w:r w:rsidR="001E26B2" w:rsidRPr="00641413">
        <w:rPr>
          <w:rFonts w:ascii="Cambria" w:hAnsi="Cambria"/>
          <w:sz w:val="20"/>
          <w:szCs w:val="20"/>
          <w:lang w:val="es-ES"/>
        </w:rPr>
        <w:t>ante la Comisión Nacional de Derechos Humanos</w:t>
      </w:r>
      <w:r w:rsidR="00D47FCE" w:rsidRPr="00641413">
        <w:rPr>
          <w:rFonts w:ascii="Cambria" w:hAnsi="Cambria"/>
          <w:sz w:val="20"/>
          <w:szCs w:val="20"/>
          <w:lang w:val="es-ES"/>
        </w:rPr>
        <w:t>, y que si bien el Ministerio P</w:t>
      </w:r>
      <w:r w:rsidR="001B791B">
        <w:rPr>
          <w:rFonts w:ascii="Cambria" w:hAnsi="Cambria"/>
          <w:sz w:val="20"/>
          <w:szCs w:val="20"/>
          <w:lang w:val="es-ES"/>
        </w:rPr>
        <w:t>ú</w:t>
      </w:r>
      <w:r w:rsidR="00D47FCE" w:rsidRPr="00641413">
        <w:rPr>
          <w:rFonts w:ascii="Cambria" w:hAnsi="Cambria"/>
          <w:sz w:val="20"/>
          <w:szCs w:val="20"/>
          <w:lang w:val="es-ES"/>
        </w:rPr>
        <w:t xml:space="preserve">blico revocó el archivo, no inició la investigación. </w:t>
      </w:r>
    </w:p>
    <w:p w14:paraId="0D32F936" w14:textId="1DD5B715" w:rsidR="004C616A" w:rsidRDefault="00960BAB"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A</w:t>
      </w:r>
      <w:r w:rsidR="00D47FCE">
        <w:rPr>
          <w:rFonts w:ascii="Cambria" w:hAnsi="Cambria"/>
          <w:sz w:val="20"/>
          <w:szCs w:val="20"/>
          <w:lang w:val="es-ES"/>
        </w:rPr>
        <w:t xml:space="preserve"> su vez, el Estado afirma que el 13 de mayo de 2009, la peticionaria presentó una denuncia, motivo por lo cual se inició la averiguación previa No. 321/2009 por el delito de difamación en agravio de la presunta v</w:t>
      </w:r>
      <w:r w:rsidR="004F3AD3">
        <w:rPr>
          <w:rFonts w:ascii="Cambria" w:hAnsi="Cambria"/>
          <w:sz w:val="20"/>
          <w:szCs w:val="20"/>
          <w:lang w:val="es-ES"/>
        </w:rPr>
        <w:t xml:space="preserve">íctima, en la cual se realizaron diversas diligencias, como entrevistas a los alumnos, la declaración del </w:t>
      </w:r>
      <w:r w:rsidR="001B791B">
        <w:rPr>
          <w:rFonts w:ascii="Cambria" w:hAnsi="Cambria"/>
          <w:sz w:val="20"/>
          <w:szCs w:val="20"/>
          <w:lang w:val="es-ES"/>
        </w:rPr>
        <w:t>D</w:t>
      </w:r>
      <w:r w:rsidR="004F3AD3">
        <w:rPr>
          <w:rFonts w:ascii="Cambria" w:hAnsi="Cambria"/>
          <w:sz w:val="20"/>
          <w:szCs w:val="20"/>
          <w:lang w:val="es-ES"/>
        </w:rPr>
        <w:t>irector del</w:t>
      </w:r>
      <w:r w:rsidR="001B791B">
        <w:rPr>
          <w:rFonts w:ascii="Cambria" w:hAnsi="Cambria"/>
          <w:sz w:val="20"/>
          <w:szCs w:val="20"/>
          <w:lang w:val="es-ES"/>
        </w:rPr>
        <w:t xml:space="preserve"> instituto</w:t>
      </w:r>
      <w:r w:rsidR="004F3AD3">
        <w:rPr>
          <w:rFonts w:ascii="Cambria" w:hAnsi="Cambria"/>
          <w:sz w:val="20"/>
          <w:szCs w:val="20"/>
          <w:lang w:val="es-ES"/>
        </w:rPr>
        <w:t xml:space="preserve">, quien se reservó el derecho a declarar y solicitó llevar a cabo audiencia de carácter conciliatorio. Así, el 21 de mayo de 2009 se realizó la audiencia conciliatoria, en la cual no se llegó a </w:t>
      </w:r>
      <w:r w:rsidR="002E601F">
        <w:rPr>
          <w:rFonts w:ascii="Cambria" w:hAnsi="Cambria"/>
          <w:sz w:val="20"/>
          <w:szCs w:val="20"/>
          <w:lang w:val="es-ES"/>
        </w:rPr>
        <w:t xml:space="preserve">ningún </w:t>
      </w:r>
      <w:r w:rsidR="004F3AD3">
        <w:rPr>
          <w:rFonts w:ascii="Cambria" w:hAnsi="Cambria"/>
          <w:sz w:val="20"/>
          <w:szCs w:val="20"/>
          <w:lang w:val="es-ES"/>
        </w:rPr>
        <w:t xml:space="preserve">acuerdo, por lo que se </w:t>
      </w:r>
      <w:r w:rsidR="001B791B">
        <w:rPr>
          <w:rFonts w:ascii="Cambria" w:hAnsi="Cambria"/>
          <w:sz w:val="20"/>
          <w:szCs w:val="20"/>
          <w:lang w:val="es-ES"/>
        </w:rPr>
        <w:t>continuó</w:t>
      </w:r>
      <w:r w:rsidR="004F3AD3">
        <w:rPr>
          <w:rFonts w:ascii="Cambria" w:hAnsi="Cambria"/>
          <w:sz w:val="20"/>
          <w:szCs w:val="20"/>
          <w:lang w:val="es-ES"/>
        </w:rPr>
        <w:t xml:space="preserve"> con el trámite de la averiguación. Alega que, ante la insuficiencia de elementos probatorios, el 25 de junio de 2009 se determinó el no ejercicio de la acción penal y que en contra dicha determinación, la peticionaria </w:t>
      </w:r>
      <w:r>
        <w:rPr>
          <w:rFonts w:ascii="Cambria" w:hAnsi="Cambria"/>
          <w:sz w:val="20"/>
          <w:szCs w:val="20"/>
          <w:lang w:val="es-ES"/>
        </w:rPr>
        <w:t>presentó</w:t>
      </w:r>
      <w:r w:rsidR="004F3AD3">
        <w:rPr>
          <w:rFonts w:ascii="Cambria" w:hAnsi="Cambria"/>
          <w:sz w:val="20"/>
          <w:szCs w:val="20"/>
          <w:lang w:val="es-ES"/>
        </w:rPr>
        <w:t xml:space="preserve"> recurso que fue resuelto el 22 de julio de 2009, revocando la determinación impugnada y ordenándose la investigación sobre los hechos denunciados. El 1 de septiembre de 2011 se determinó la reserva de la averiguación previa y el 25 de septiembre de 2011 se emitió la declaración de no ejercicio de la acción penal al considerar no acreditado el tipo penal de difamación. </w:t>
      </w:r>
      <w:r w:rsidR="008F03FE">
        <w:rPr>
          <w:rFonts w:ascii="Cambria" w:hAnsi="Cambria"/>
          <w:sz w:val="20"/>
          <w:szCs w:val="20"/>
          <w:lang w:val="es-ES"/>
        </w:rPr>
        <w:t>Asimismo, el Estado sostiene que la Secretar</w:t>
      </w:r>
      <w:r w:rsidR="001B791B">
        <w:rPr>
          <w:rFonts w:ascii="Cambria" w:hAnsi="Cambria"/>
          <w:sz w:val="20"/>
          <w:szCs w:val="20"/>
          <w:lang w:val="es-ES"/>
        </w:rPr>
        <w:t>í</w:t>
      </w:r>
      <w:r w:rsidR="008F03FE">
        <w:rPr>
          <w:rFonts w:ascii="Cambria" w:hAnsi="Cambria"/>
          <w:sz w:val="20"/>
          <w:szCs w:val="20"/>
          <w:lang w:val="es-ES"/>
        </w:rPr>
        <w:t>a de Educación tuvo conocimiento de la situación, y que, ante la interrupción de días en los estudios de la presunta víctima, propuso a la peticionaria que la incorpor</w:t>
      </w:r>
      <w:r w:rsidR="00964469">
        <w:rPr>
          <w:rFonts w:ascii="Cambria" w:hAnsi="Cambria"/>
          <w:sz w:val="20"/>
          <w:szCs w:val="20"/>
          <w:lang w:val="es-ES"/>
        </w:rPr>
        <w:t>en</w:t>
      </w:r>
      <w:r w:rsidR="008F03FE">
        <w:rPr>
          <w:rFonts w:ascii="Cambria" w:hAnsi="Cambria"/>
          <w:sz w:val="20"/>
          <w:szCs w:val="20"/>
          <w:lang w:val="es-ES"/>
        </w:rPr>
        <w:t xml:space="preserve"> en otro centro educativo del Estado, buscando garantizar el derecho a la educación de la presunta víctima. </w:t>
      </w:r>
    </w:p>
    <w:p w14:paraId="26ABF469" w14:textId="77777777" w:rsidR="00E277DF" w:rsidRPr="00A30410" w:rsidRDefault="00E277DF" w:rsidP="00E277DF">
      <w:pPr>
        <w:pStyle w:val="ListParagraph"/>
        <w:spacing w:before="120" w:after="120"/>
        <w:jc w:val="both"/>
        <w:rPr>
          <w:rFonts w:asciiTheme="majorHAnsi" w:hAnsiTheme="majorHAnsi"/>
          <w:b/>
          <w:bCs/>
          <w:color w:val="auto"/>
          <w:sz w:val="20"/>
          <w:szCs w:val="20"/>
          <w:lang w:val="es-ES"/>
        </w:rPr>
      </w:pPr>
      <w:r w:rsidRPr="00A30410">
        <w:rPr>
          <w:rFonts w:asciiTheme="majorHAnsi" w:hAnsiTheme="majorHAnsi"/>
          <w:b/>
          <w:bCs/>
          <w:color w:val="auto"/>
          <w:sz w:val="20"/>
          <w:szCs w:val="20"/>
          <w:lang w:val="es-ES"/>
        </w:rPr>
        <w:t xml:space="preserve">VI. </w:t>
      </w:r>
      <w:r w:rsidRPr="00A30410">
        <w:rPr>
          <w:rFonts w:asciiTheme="majorHAnsi" w:hAnsiTheme="majorHAnsi"/>
          <w:b/>
          <w:bCs/>
          <w:color w:val="auto"/>
          <w:sz w:val="20"/>
          <w:szCs w:val="20"/>
          <w:lang w:val="es-ES"/>
        </w:rPr>
        <w:tab/>
        <w:t>AGOTAMIENTO DE LOS RECURSOS INTERNOS Y PLAZO DE PRESENTACIÓN</w:t>
      </w:r>
    </w:p>
    <w:p w14:paraId="72C3E220" w14:textId="2ADD747A" w:rsidR="00EE3466" w:rsidRDefault="00E277DF" w:rsidP="00EE34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A30410">
        <w:rPr>
          <w:rFonts w:ascii="Cambria" w:hAnsi="Cambria"/>
          <w:sz w:val="20"/>
          <w:szCs w:val="20"/>
          <w:lang w:val="es-ES"/>
        </w:rPr>
        <w:t xml:space="preserve">Según el Estado, la parte peticionaria no </w:t>
      </w:r>
      <w:r w:rsidR="00960BAB" w:rsidRPr="00A30410">
        <w:rPr>
          <w:rFonts w:ascii="Cambria" w:hAnsi="Cambria"/>
          <w:sz w:val="20"/>
          <w:szCs w:val="20"/>
          <w:lang w:val="es-ES"/>
        </w:rPr>
        <w:t>agotó</w:t>
      </w:r>
      <w:r w:rsidRPr="00A30410">
        <w:rPr>
          <w:rFonts w:ascii="Cambria" w:hAnsi="Cambria"/>
          <w:sz w:val="20"/>
          <w:szCs w:val="20"/>
          <w:lang w:val="es-ES"/>
        </w:rPr>
        <w:t xml:space="preserve"> los recursos internos, porque podría, según el artículo 355, IV, del Código de Procedimientos Penales de Guanajuato, </w:t>
      </w:r>
      <w:r w:rsidR="002E601F">
        <w:rPr>
          <w:rFonts w:ascii="Cambria" w:hAnsi="Cambria"/>
          <w:sz w:val="20"/>
          <w:szCs w:val="20"/>
          <w:lang w:val="es-ES"/>
        </w:rPr>
        <w:t>haber impugnado</w:t>
      </w:r>
      <w:r w:rsidR="002E601F" w:rsidRPr="00A30410">
        <w:rPr>
          <w:rFonts w:ascii="Cambria" w:hAnsi="Cambria"/>
          <w:sz w:val="20"/>
          <w:szCs w:val="20"/>
          <w:lang w:val="es-ES"/>
        </w:rPr>
        <w:t xml:space="preserve"> </w:t>
      </w:r>
      <w:r w:rsidRPr="00A30410">
        <w:rPr>
          <w:rFonts w:ascii="Cambria" w:hAnsi="Cambria"/>
          <w:sz w:val="20"/>
          <w:szCs w:val="20"/>
          <w:lang w:val="es-ES"/>
        </w:rPr>
        <w:t>la resolución del 25 de septiembre de 2011 que determinó el archivo de la investigación por medio del recurso de apelación. Además, afirma que, si la peticionar</w:t>
      </w:r>
      <w:r w:rsidR="00B25145" w:rsidRPr="00A30410">
        <w:rPr>
          <w:rFonts w:ascii="Cambria" w:hAnsi="Cambria"/>
          <w:sz w:val="20"/>
          <w:szCs w:val="20"/>
          <w:lang w:val="es-ES"/>
        </w:rPr>
        <w:t>ia</w:t>
      </w:r>
      <w:r w:rsidRPr="00A30410">
        <w:rPr>
          <w:rFonts w:ascii="Cambria" w:hAnsi="Cambria"/>
          <w:sz w:val="20"/>
          <w:szCs w:val="20"/>
          <w:lang w:val="es-ES"/>
        </w:rPr>
        <w:t xml:space="preserve"> resultara nuevamente inconforme con la resolución de la apelación, tenía la oportunidad de promover un juicio de amparo indirecto, segundo el artículo 114, VII, de la Ley de Amparo. Sostiene que los recursos son efectivos, el recurso de apelación, pues resolvió un primer momento la inconformidad de la peticionaria, y el recurso de amparo, porque ha sido reconocido por la CIDH por su eficacia. Destaca que la petición fue presentada sin que la averiguación previa hubiese culminado, ya que el proceso penal iniciado por la peticionaria fue resuelto el 25 de septiembre de 2011. </w:t>
      </w:r>
    </w:p>
    <w:p w14:paraId="13825E4A" w14:textId="519AE7CE" w:rsidR="00EE3466" w:rsidRDefault="00B25145" w:rsidP="00EE34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E3466">
        <w:rPr>
          <w:rFonts w:ascii="Cambria" w:hAnsi="Cambria"/>
          <w:sz w:val="20"/>
          <w:szCs w:val="20"/>
          <w:lang w:val="es-ES"/>
        </w:rPr>
        <w:t>A</w:t>
      </w:r>
      <w:r w:rsidR="002E601F" w:rsidRPr="00EE3466">
        <w:rPr>
          <w:rFonts w:ascii="Cambria" w:hAnsi="Cambria"/>
          <w:sz w:val="20"/>
          <w:szCs w:val="20"/>
          <w:lang w:val="es-ES"/>
        </w:rPr>
        <w:t>l</w:t>
      </w:r>
      <w:r w:rsidRPr="00EE3466">
        <w:rPr>
          <w:rFonts w:ascii="Cambria" w:hAnsi="Cambria"/>
          <w:sz w:val="20"/>
          <w:szCs w:val="20"/>
          <w:lang w:val="es-ES"/>
        </w:rPr>
        <w:t xml:space="preserve"> respe</w:t>
      </w:r>
      <w:r w:rsidR="002E601F" w:rsidRPr="00EE3466">
        <w:rPr>
          <w:rFonts w:ascii="Cambria" w:hAnsi="Cambria"/>
          <w:sz w:val="20"/>
          <w:szCs w:val="20"/>
          <w:lang w:val="es-ES"/>
        </w:rPr>
        <w:t>c</w:t>
      </w:r>
      <w:r w:rsidRPr="00EE3466">
        <w:rPr>
          <w:rFonts w:ascii="Cambria" w:hAnsi="Cambria"/>
          <w:sz w:val="20"/>
          <w:szCs w:val="20"/>
          <w:lang w:val="es-ES"/>
        </w:rPr>
        <w:t xml:space="preserve">to, la Comisión hace notar que </w:t>
      </w:r>
      <w:r w:rsidRPr="00EE3466">
        <w:rPr>
          <w:rFonts w:ascii="Cambria" w:hAnsi="Cambria" w:cs="Calibri"/>
          <w:sz w:val="20"/>
          <w:szCs w:val="20"/>
          <w:lang w:val="es-ES_tradnl"/>
        </w:rPr>
        <w:t xml:space="preserve">la regla de agotamiento de recursos prevista en el artículo 46.1.a de la Convención Americana, establece que deben activarse primero los recursos normalmente disponibles e idóneos en el ordenamiento jurídico interno. Tales recursos deben ser lo suficientemente seguros, tanto formal como materialmente; es decir, contar con accesibilidad y eficacia para restituir la situación denunciada. Sobre este punto, la CIDH ha establecido que el requisito de agotamiento de los recursos internos no significa que las presuntas víctimas tengan necesariamente la obligación de agotar todos los recursos que tengan disponibles. En consecuencia, si la presunta víctima planteó la cuestión por </w:t>
      </w:r>
      <w:r w:rsidR="006B64F6">
        <w:rPr>
          <w:rFonts w:ascii="Cambria" w:hAnsi="Cambria" w:cs="Calibri"/>
          <w:sz w:val="20"/>
          <w:szCs w:val="20"/>
          <w:lang w:val="es-ES_tradnl"/>
        </w:rPr>
        <w:t>una</w:t>
      </w:r>
      <w:r w:rsidRPr="00EE3466">
        <w:rPr>
          <w:rFonts w:ascii="Cambria" w:hAnsi="Cambria" w:cs="Calibri"/>
          <w:sz w:val="20"/>
          <w:szCs w:val="20"/>
          <w:lang w:val="es-ES_tradnl"/>
        </w:rPr>
        <w:t xml:space="preserve"> de las alternativas válidas y adecuadas según el ordenamiento jurídico interno y el Estado tuvo la oportunidad de remediar la cuestión en su jurisdicción, la finalidad de la norma internacional está cumplida</w:t>
      </w:r>
      <w:r w:rsidRPr="00A30410">
        <w:rPr>
          <w:rStyle w:val="FootnoteReference"/>
          <w:rFonts w:ascii="Cambria" w:hAnsi="Cambria" w:cs="Calibri"/>
          <w:sz w:val="20"/>
          <w:szCs w:val="20"/>
        </w:rPr>
        <w:footnoteReference w:id="7"/>
      </w:r>
      <w:r w:rsidRPr="00EE3466">
        <w:rPr>
          <w:rFonts w:ascii="Cambria" w:hAnsi="Cambria" w:cs="Calibri"/>
          <w:sz w:val="20"/>
          <w:szCs w:val="20"/>
          <w:lang w:val="es-ES_tradnl"/>
        </w:rPr>
        <w:t>.</w:t>
      </w:r>
      <w:r w:rsidRPr="00EE3466">
        <w:rPr>
          <w:rFonts w:ascii="Cambria" w:hAnsi="Cambria"/>
          <w:sz w:val="20"/>
          <w:szCs w:val="20"/>
          <w:lang w:val="es-ES"/>
        </w:rPr>
        <w:t xml:space="preserve"> </w:t>
      </w:r>
    </w:p>
    <w:p w14:paraId="30C84B0E" w14:textId="5BDBA437" w:rsidR="00EE3466" w:rsidRPr="006B64F6" w:rsidRDefault="00B25145" w:rsidP="00EE34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E3466">
        <w:rPr>
          <w:rFonts w:ascii="Cambria" w:hAnsi="Cambria"/>
          <w:sz w:val="20"/>
          <w:szCs w:val="20"/>
          <w:lang w:val="es-ES"/>
        </w:rPr>
        <w:t>En el presente caso, la parte peticionaria buscó, en el ámbito interno, que se responsabilizara a los autores de los hechos</w:t>
      </w:r>
      <w:r w:rsidR="003F6FA1" w:rsidRPr="00EE3466">
        <w:rPr>
          <w:rFonts w:ascii="Cambria" w:hAnsi="Cambria"/>
          <w:sz w:val="20"/>
          <w:szCs w:val="20"/>
          <w:lang w:val="es-ES"/>
        </w:rPr>
        <w:t xml:space="preserve"> </w:t>
      </w:r>
      <w:r w:rsidRPr="00EE3466">
        <w:rPr>
          <w:rFonts w:ascii="Cambria" w:hAnsi="Cambria"/>
          <w:sz w:val="20"/>
          <w:szCs w:val="20"/>
          <w:lang w:val="es-ES"/>
        </w:rPr>
        <w:t xml:space="preserve">con relación a su hija, la presunta víctima y, en dicho sentido, </w:t>
      </w:r>
      <w:r w:rsidR="006C4BAB" w:rsidRPr="00EE3466">
        <w:rPr>
          <w:rFonts w:ascii="Cambria" w:hAnsi="Cambria"/>
          <w:sz w:val="20"/>
          <w:szCs w:val="20"/>
          <w:lang w:val="es-ES"/>
        </w:rPr>
        <w:t xml:space="preserve">hizo una denuncia ante el Ministerio </w:t>
      </w:r>
      <w:r w:rsidR="006B64F6" w:rsidRPr="00EE3466">
        <w:rPr>
          <w:rFonts w:ascii="Cambria" w:hAnsi="Cambria"/>
          <w:sz w:val="20"/>
          <w:szCs w:val="20"/>
          <w:lang w:val="es-ES"/>
        </w:rPr>
        <w:t>P</w:t>
      </w:r>
      <w:r w:rsidR="006B64F6">
        <w:rPr>
          <w:rFonts w:ascii="Cambria" w:hAnsi="Cambria"/>
          <w:sz w:val="20"/>
          <w:szCs w:val="20"/>
          <w:lang w:val="es-ES"/>
        </w:rPr>
        <w:t>ú</w:t>
      </w:r>
      <w:r w:rsidR="006B64F6" w:rsidRPr="00EE3466">
        <w:rPr>
          <w:rFonts w:ascii="Cambria" w:hAnsi="Cambria"/>
          <w:sz w:val="20"/>
          <w:szCs w:val="20"/>
          <w:lang w:val="es-ES"/>
        </w:rPr>
        <w:t>blico</w:t>
      </w:r>
      <w:r w:rsidR="006C4BAB" w:rsidRPr="00EE3466">
        <w:rPr>
          <w:rFonts w:ascii="Cambria" w:hAnsi="Cambria"/>
          <w:sz w:val="20"/>
          <w:szCs w:val="20"/>
          <w:lang w:val="es-ES"/>
        </w:rPr>
        <w:t>, la cual fue</w:t>
      </w:r>
      <w:r w:rsidR="00434007" w:rsidRPr="00EE3466">
        <w:rPr>
          <w:rFonts w:ascii="Cambria" w:hAnsi="Cambria"/>
          <w:sz w:val="20"/>
          <w:szCs w:val="20"/>
          <w:lang w:val="es-ES"/>
        </w:rPr>
        <w:t>, primeramente,</w:t>
      </w:r>
      <w:r w:rsidR="006C4BAB" w:rsidRPr="00EE3466">
        <w:rPr>
          <w:rFonts w:ascii="Cambria" w:hAnsi="Cambria"/>
          <w:sz w:val="20"/>
          <w:szCs w:val="20"/>
          <w:lang w:val="es-ES"/>
        </w:rPr>
        <w:t xml:space="preserve"> archivada</w:t>
      </w:r>
      <w:r w:rsidR="00434007" w:rsidRPr="00EE3466">
        <w:rPr>
          <w:rFonts w:ascii="Cambria" w:hAnsi="Cambria"/>
          <w:sz w:val="20"/>
          <w:szCs w:val="20"/>
          <w:lang w:val="es-ES"/>
        </w:rPr>
        <w:t xml:space="preserve">, pero tras </w:t>
      </w:r>
      <w:r w:rsidR="009D4D24" w:rsidRPr="00EE3466">
        <w:rPr>
          <w:rFonts w:ascii="Cambria" w:hAnsi="Cambria"/>
          <w:sz w:val="20"/>
          <w:szCs w:val="20"/>
          <w:lang w:val="es-ES"/>
        </w:rPr>
        <w:t>una nueva</w:t>
      </w:r>
      <w:r w:rsidR="00434007" w:rsidRPr="00EE3466">
        <w:rPr>
          <w:rFonts w:ascii="Cambria" w:hAnsi="Cambria"/>
          <w:sz w:val="20"/>
          <w:szCs w:val="20"/>
          <w:lang w:val="es-ES"/>
        </w:rPr>
        <w:t xml:space="preserve"> solicitud de la peticionaria </w:t>
      </w:r>
      <w:r w:rsidR="00434007" w:rsidRPr="00EE3466">
        <w:rPr>
          <w:rFonts w:ascii="Cambria" w:hAnsi="Cambria"/>
          <w:sz w:val="20"/>
          <w:szCs w:val="20"/>
          <w:lang w:val="es-ES"/>
        </w:rPr>
        <w:lastRenderedPageBreak/>
        <w:t>fue desarchivada</w:t>
      </w:r>
      <w:r w:rsidR="006C4BAB" w:rsidRPr="00EE3466">
        <w:rPr>
          <w:rFonts w:ascii="Cambria" w:hAnsi="Cambria"/>
          <w:sz w:val="20"/>
          <w:szCs w:val="20"/>
          <w:lang w:val="es-ES"/>
        </w:rPr>
        <w:t xml:space="preserve">. </w:t>
      </w:r>
      <w:r w:rsidR="009D4D24" w:rsidRPr="00EE3466">
        <w:rPr>
          <w:rFonts w:ascii="Cambria" w:hAnsi="Cambria"/>
          <w:sz w:val="20"/>
          <w:szCs w:val="20"/>
          <w:lang w:val="es-AR"/>
        </w:rPr>
        <w:t xml:space="preserve">En </w:t>
      </w:r>
      <w:r w:rsidR="00641413" w:rsidRPr="00EE3466">
        <w:rPr>
          <w:rFonts w:ascii="Cambria" w:hAnsi="Cambria"/>
          <w:sz w:val="20"/>
          <w:szCs w:val="20"/>
          <w:lang w:val="es-AR"/>
        </w:rPr>
        <w:t xml:space="preserve">el desarchivo, se determinó </w:t>
      </w:r>
      <w:r w:rsidR="00CD764C" w:rsidRPr="00EE3466">
        <w:rPr>
          <w:rFonts w:ascii="Cambria" w:hAnsi="Cambria"/>
          <w:sz w:val="20"/>
          <w:szCs w:val="20"/>
          <w:lang w:val="es-AR"/>
        </w:rPr>
        <w:t>que no estaba acreditado el tipo penal de difamación, razón por la cual no se ejerció la acción penal.</w:t>
      </w:r>
      <w:r w:rsidR="00F9059E">
        <w:rPr>
          <w:rFonts w:ascii="Cambria" w:hAnsi="Cambria"/>
          <w:sz w:val="20"/>
          <w:szCs w:val="20"/>
          <w:lang w:val="es-AR"/>
        </w:rPr>
        <w:t xml:space="preserve"> La Comisión hace notar que aunque los representantes de la presunta víctima no </w:t>
      </w:r>
      <w:r w:rsidR="006B64F6">
        <w:rPr>
          <w:rFonts w:ascii="Cambria" w:hAnsi="Cambria"/>
          <w:sz w:val="20"/>
          <w:szCs w:val="20"/>
          <w:lang w:val="es-AR"/>
        </w:rPr>
        <w:t>hayan</w:t>
      </w:r>
      <w:r w:rsidR="00F9059E">
        <w:rPr>
          <w:rFonts w:ascii="Cambria" w:hAnsi="Cambria"/>
          <w:sz w:val="20"/>
          <w:szCs w:val="20"/>
          <w:lang w:val="es-AR"/>
        </w:rPr>
        <w:t xml:space="preserve"> apelado la decisión, </w:t>
      </w:r>
      <w:r w:rsidR="00CD764C" w:rsidRPr="00EE3466">
        <w:rPr>
          <w:rFonts w:ascii="Cambria" w:hAnsi="Cambria"/>
          <w:sz w:val="20"/>
          <w:szCs w:val="20"/>
          <w:lang w:val="es-AR"/>
        </w:rPr>
        <w:t>el presente caso involucra la presunta violación de los derechos de una niña de 14 años</w:t>
      </w:r>
      <w:r w:rsidR="00F9059E">
        <w:rPr>
          <w:rFonts w:ascii="Cambria" w:hAnsi="Cambria"/>
          <w:sz w:val="20"/>
          <w:szCs w:val="20"/>
          <w:lang w:val="es-AR"/>
        </w:rPr>
        <w:t xml:space="preserve"> y </w:t>
      </w:r>
      <w:r w:rsidR="006B64F6">
        <w:rPr>
          <w:rFonts w:ascii="Cambria" w:hAnsi="Cambria"/>
          <w:sz w:val="20"/>
          <w:szCs w:val="20"/>
          <w:lang w:val="es-AR"/>
        </w:rPr>
        <w:t xml:space="preserve">que </w:t>
      </w:r>
      <w:r w:rsidR="00F9059E">
        <w:rPr>
          <w:rFonts w:ascii="Cambria" w:hAnsi="Cambria"/>
          <w:sz w:val="20"/>
          <w:szCs w:val="20"/>
          <w:lang w:val="es-AR"/>
        </w:rPr>
        <w:t xml:space="preserve">la </w:t>
      </w:r>
      <w:r w:rsidR="00F9059E" w:rsidRPr="006C7C74">
        <w:rPr>
          <w:rFonts w:ascii="Cambria" w:hAnsi="Cambria"/>
          <w:sz w:val="20"/>
          <w:szCs w:val="20"/>
          <w:lang w:val="es-PE"/>
        </w:rPr>
        <w:t>Procuraduría de NNA</w:t>
      </w:r>
      <w:r w:rsidR="00F9059E">
        <w:rPr>
          <w:rFonts w:ascii="Cambria" w:hAnsi="Cambria"/>
          <w:sz w:val="20"/>
          <w:szCs w:val="20"/>
          <w:lang w:val="es-PE"/>
        </w:rPr>
        <w:t xml:space="preserve"> no impulsó una investigación de ofício por el delito a la integridad personal de la presunta víctima</w:t>
      </w:r>
      <w:r w:rsidR="006B64F6">
        <w:rPr>
          <w:rFonts w:ascii="Cambria" w:hAnsi="Cambria"/>
          <w:sz w:val="20"/>
          <w:szCs w:val="20"/>
          <w:lang w:val="es-PE"/>
        </w:rPr>
        <w:t>.</w:t>
      </w:r>
    </w:p>
    <w:p w14:paraId="0AF0D7F6" w14:textId="77777777" w:rsidR="00EE3466" w:rsidRDefault="00E44275" w:rsidP="00EE34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E3466">
        <w:rPr>
          <w:rFonts w:asciiTheme="majorHAnsi" w:hAnsiTheme="majorHAnsi"/>
          <w:sz w:val="20"/>
          <w:szCs w:val="20"/>
          <w:lang w:val="es-ES"/>
        </w:rPr>
        <w:t>En esa línea de ideas, la CIDH recuerda que sus precedentes señalan que toda vez que se cometa un presunto delito perseguible de oficio, el Estado tiene la obligación de promover e impulsar una investigación y que, en esos casos, éste constituye la vía idónea para esclarecer los hechos, y, en su caso, juzgar a los responsables y establecer las sanciones penales correspondientes.</w:t>
      </w:r>
      <w:r w:rsidRPr="0018097F">
        <w:rPr>
          <w:rStyle w:val="FootnoteReference"/>
          <w:rFonts w:asciiTheme="majorHAnsi" w:hAnsiTheme="majorHAnsi"/>
          <w:sz w:val="20"/>
          <w:szCs w:val="20"/>
          <w:lang w:val="es-ES"/>
        </w:rPr>
        <w:footnoteReference w:id="8"/>
      </w:r>
      <w:r w:rsidRPr="00EE3466">
        <w:rPr>
          <w:rFonts w:asciiTheme="majorHAnsi" w:hAnsiTheme="majorHAnsi"/>
          <w:sz w:val="20"/>
          <w:szCs w:val="20"/>
          <w:lang w:val="es-ES"/>
        </w:rPr>
        <w:t xml:space="preserve"> Concretamente, en casos donde</w:t>
      </w:r>
      <w:r w:rsidR="00D64B51" w:rsidRPr="00EE3466">
        <w:rPr>
          <w:rFonts w:asciiTheme="majorHAnsi" w:hAnsiTheme="majorHAnsi"/>
          <w:sz w:val="20"/>
          <w:szCs w:val="20"/>
          <w:lang w:val="es-ES"/>
        </w:rPr>
        <w:t xml:space="preserve"> las presuntas víctimas son niñas, niños o adolescentes </w:t>
      </w:r>
      <w:r w:rsidRPr="00EE3466">
        <w:rPr>
          <w:rFonts w:asciiTheme="majorHAnsi" w:hAnsiTheme="majorHAnsi"/>
          <w:sz w:val="20"/>
          <w:szCs w:val="20"/>
          <w:lang w:val="es-ES"/>
        </w:rPr>
        <w:t>la Comisión hace nota</w:t>
      </w:r>
      <w:r w:rsidR="00D86411" w:rsidRPr="00EE3466">
        <w:rPr>
          <w:rFonts w:asciiTheme="majorHAnsi" w:hAnsiTheme="majorHAnsi"/>
          <w:sz w:val="20"/>
          <w:szCs w:val="20"/>
          <w:lang w:val="es-ES"/>
        </w:rPr>
        <w:t>r</w:t>
      </w:r>
      <w:r w:rsidRPr="00EE3466">
        <w:rPr>
          <w:rFonts w:asciiTheme="majorHAnsi" w:hAnsiTheme="majorHAnsi"/>
          <w:sz w:val="20"/>
          <w:szCs w:val="20"/>
          <w:lang w:val="es-ES"/>
        </w:rPr>
        <w:t xml:space="preserve"> a su vez </w:t>
      </w:r>
      <w:r w:rsidR="004F0547" w:rsidRPr="00EE3466">
        <w:rPr>
          <w:rFonts w:asciiTheme="majorHAnsi" w:hAnsiTheme="majorHAnsi"/>
          <w:sz w:val="20"/>
          <w:szCs w:val="20"/>
          <w:lang w:val="es-ES"/>
        </w:rPr>
        <w:t>todos los medios de investigación deben llevar</w:t>
      </w:r>
      <w:r w:rsidR="00D86411" w:rsidRPr="00EE3466">
        <w:rPr>
          <w:rFonts w:asciiTheme="majorHAnsi" w:hAnsiTheme="majorHAnsi"/>
          <w:sz w:val="20"/>
          <w:szCs w:val="20"/>
          <w:lang w:val="es-ES"/>
        </w:rPr>
        <w:t>se a cabo teniendo</w:t>
      </w:r>
      <w:r w:rsidR="004F0547" w:rsidRPr="00EE3466">
        <w:rPr>
          <w:rFonts w:asciiTheme="majorHAnsi" w:hAnsiTheme="majorHAnsi"/>
          <w:sz w:val="20"/>
          <w:szCs w:val="20"/>
          <w:lang w:val="es-ES"/>
        </w:rPr>
        <w:t xml:space="preserve"> en cuenta el interés superior del niño, con el fin de lograr la protección efectiva de dicho interés.</w:t>
      </w:r>
      <w:r w:rsidR="004F0547" w:rsidRPr="0018097F">
        <w:rPr>
          <w:rStyle w:val="FootnoteReference"/>
          <w:rFonts w:asciiTheme="majorHAnsi" w:hAnsiTheme="majorHAnsi"/>
          <w:sz w:val="20"/>
          <w:szCs w:val="20"/>
          <w:lang w:val="es-ES"/>
        </w:rPr>
        <w:footnoteReference w:id="9"/>
      </w:r>
      <w:r w:rsidRPr="00EE3466">
        <w:rPr>
          <w:rFonts w:asciiTheme="majorHAnsi" w:hAnsiTheme="majorHAnsi"/>
          <w:sz w:val="20"/>
          <w:szCs w:val="20"/>
          <w:lang w:val="es-ES"/>
        </w:rPr>
        <w:t xml:space="preserve"> </w:t>
      </w:r>
      <w:r w:rsidR="00E01DF9" w:rsidRPr="00EE3466">
        <w:rPr>
          <w:rFonts w:asciiTheme="majorHAnsi" w:hAnsiTheme="majorHAnsi"/>
          <w:sz w:val="20"/>
          <w:szCs w:val="20"/>
          <w:lang w:val="es-ES"/>
        </w:rPr>
        <w:t>Asimismo, la Comisión observa que la Convención de Belém do Pará afirma que la obligación de actuar con la debida diligencia adquiera una connotación especial en casos de violencia contra las mujeres. Además, este instrumento estipula que el Estado, al actuar con la debida diligencia frente a actos violentos, debe tomar especial cuenta de la particular exposición a la violencia y a la discriminación que puede sufrir una mujer por su minoría de edad, entre otras condiciones de riesgo.</w:t>
      </w:r>
      <w:r w:rsidR="00E01DF9" w:rsidRPr="0018097F">
        <w:rPr>
          <w:rStyle w:val="FootnoteReference"/>
          <w:rFonts w:asciiTheme="majorHAnsi" w:hAnsiTheme="majorHAnsi"/>
          <w:sz w:val="20"/>
          <w:szCs w:val="20"/>
          <w:lang w:val="es-ES"/>
        </w:rPr>
        <w:footnoteReference w:id="10"/>
      </w:r>
      <w:r w:rsidR="00E01DF9" w:rsidRPr="00EE3466">
        <w:rPr>
          <w:rFonts w:asciiTheme="majorHAnsi" w:hAnsiTheme="majorHAnsi"/>
          <w:sz w:val="20"/>
          <w:szCs w:val="20"/>
          <w:lang w:val="es-ES"/>
        </w:rPr>
        <w:t xml:space="preserve"> </w:t>
      </w:r>
    </w:p>
    <w:p w14:paraId="29F43503" w14:textId="42AB35D7" w:rsidR="00EE3466" w:rsidRDefault="00960BAB" w:rsidP="00EE34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Theme="majorHAnsi" w:hAnsiTheme="majorHAnsi"/>
          <w:sz w:val="20"/>
          <w:szCs w:val="20"/>
          <w:lang w:val="es-ES"/>
        </w:rPr>
        <w:t>En</w:t>
      </w:r>
      <w:r w:rsidR="00F9059E">
        <w:rPr>
          <w:rFonts w:asciiTheme="majorHAnsi" w:hAnsiTheme="majorHAnsi"/>
          <w:sz w:val="20"/>
          <w:szCs w:val="20"/>
          <w:lang w:val="es-ES"/>
        </w:rPr>
        <w:t xml:space="preserve"> </w:t>
      </w:r>
      <w:r w:rsidR="00E44275" w:rsidRPr="00EE3466">
        <w:rPr>
          <w:rFonts w:asciiTheme="majorHAnsi" w:hAnsiTheme="majorHAnsi"/>
          <w:sz w:val="20"/>
          <w:szCs w:val="20"/>
          <w:lang w:val="es-ES"/>
        </w:rPr>
        <w:t>el presente caso, la Comisión observa que, por tratarse de una niña, competía al Ministerio P</w:t>
      </w:r>
      <w:r w:rsidR="00D86411" w:rsidRPr="00EE3466">
        <w:rPr>
          <w:rFonts w:asciiTheme="majorHAnsi" w:hAnsiTheme="majorHAnsi"/>
          <w:sz w:val="20"/>
          <w:szCs w:val="20"/>
          <w:lang w:val="es-ES"/>
        </w:rPr>
        <w:t>ú</w:t>
      </w:r>
      <w:r w:rsidR="00E44275" w:rsidRPr="00EE3466">
        <w:rPr>
          <w:rFonts w:asciiTheme="majorHAnsi" w:hAnsiTheme="majorHAnsi"/>
          <w:sz w:val="20"/>
          <w:szCs w:val="20"/>
          <w:lang w:val="es-ES"/>
        </w:rPr>
        <w:t>blico ejercer la acción penal ante los tribunales,</w:t>
      </w:r>
      <w:r w:rsidR="00E44275" w:rsidRPr="0018097F">
        <w:rPr>
          <w:rStyle w:val="FootnoteReference"/>
          <w:rFonts w:asciiTheme="majorHAnsi" w:hAnsiTheme="majorHAnsi"/>
          <w:sz w:val="20"/>
          <w:szCs w:val="20"/>
          <w:lang w:val="es-ES"/>
        </w:rPr>
        <w:footnoteReference w:id="11"/>
      </w:r>
      <w:r w:rsidR="00E44275" w:rsidRPr="00EE3466">
        <w:rPr>
          <w:rFonts w:asciiTheme="majorHAnsi" w:hAnsiTheme="majorHAnsi"/>
          <w:sz w:val="20"/>
          <w:szCs w:val="20"/>
          <w:lang w:val="es-ES"/>
        </w:rPr>
        <w:t xml:space="preserve"> y a la Procuraduría Federal de Protección de Niñas, Niños y Adolescentes denunciar hechos que se presuman constitutivos de delitos en contra de niñas, niños y adolescentes,</w:t>
      </w:r>
      <w:r w:rsidR="00E44275" w:rsidRPr="0018097F">
        <w:rPr>
          <w:rStyle w:val="FootnoteReference"/>
          <w:rFonts w:asciiTheme="majorHAnsi" w:hAnsiTheme="majorHAnsi"/>
          <w:sz w:val="20"/>
          <w:szCs w:val="20"/>
          <w:lang w:val="es-ES"/>
        </w:rPr>
        <w:footnoteReference w:id="12"/>
      </w:r>
      <w:r w:rsidR="00E44275" w:rsidRPr="00EE3466">
        <w:rPr>
          <w:rFonts w:asciiTheme="majorHAnsi" w:hAnsiTheme="majorHAnsi"/>
          <w:sz w:val="20"/>
          <w:szCs w:val="20"/>
          <w:lang w:val="es-ES"/>
        </w:rPr>
        <w:t xml:space="preserve"> pero no se </w:t>
      </w:r>
      <w:r w:rsidR="00FC134D" w:rsidRPr="00EE3466">
        <w:rPr>
          <w:rFonts w:asciiTheme="majorHAnsi" w:hAnsiTheme="majorHAnsi"/>
          <w:sz w:val="20"/>
          <w:szCs w:val="20"/>
          <w:lang w:val="es-ES"/>
        </w:rPr>
        <w:t>iniciaron</w:t>
      </w:r>
      <w:r w:rsidR="00E44275" w:rsidRPr="00EE3466">
        <w:rPr>
          <w:rFonts w:asciiTheme="majorHAnsi" w:hAnsiTheme="majorHAnsi"/>
          <w:sz w:val="20"/>
          <w:szCs w:val="20"/>
          <w:lang w:val="es-ES"/>
        </w:rPr>
        <w:t xml:space="preserve"> investigaciones de oficio sobre el delito contra </w:t>
      </w:r>
      <w:r w:rsidR="002E601F" w:rsidRPr="00EE3466">
        <w:rPr>
          <w:rFonts w:asciiTheme="majorHAnsi" w:hAnsiTheme="majorHAnsi"/>
          <w:sz w:val="20"/>
          <w:szCs w:val="20"/>
          <w:lang w:val="es-ES"/>
        </w:rPr>
        <w:t xml:space="preserve">el </w:t>
      </w:r>
      <w:r w:rsidR="00E44275" w:rsidRPr="00EE3466">
        <w:rPr>
          <w:rFonts w:asciiTheme="majorHAnsi" w:hAnsiTheme="majorHAnsi"/>
          <w:sz w:val="20"/>
          <w:szCs w:val="20"/>
          <w:lang w:val="es-ES"/>
        </w:rPr>
        <w:t>honor y tampoco sobre la posibilidad de ocurrencia de un delito de violencia sexual en contra de G.V.L.B, por el hecho de que fue obligada a desnudarse ante el personal de la escuela</w:t>
      </w:r>
      <w:r>
        <w:rPr>
          <w:rFonts w:asciiTheme="majorHAnsi" w:hAnsiTheme="majorHAnsi"/>
          <w:sz w:val="20"/>
          <w:szCs w:val="20"/>
          <w:lang w:val="es-ES"/>
        </w:rPr>
        <w:t xml:space="preserve"> y su video presuntamente difundido</w:t>
      </w:r>
      <w:r w:rsidR="00FC134D" w:rsidRPr="00EE3466">
        <w:rPr>
          <w:rFonts w:asciiTheme="majorHAnsi" w:hAnsiTheme="majorHAnsi"/>
          <w:sz w:val="20"/>
          <w:szCs w:val="20"/>
          <w:lang w:val="es-ES"/>
        </w:rPr>
        <w:t xml:space="preserve">. </w:t>
      </w:r>
      <w:r w:rsidR="00D86411" w:rsidRPr="00EE3466">
        <w:rPr>
          <w:rFonts w:asciiTheme="majorHAnsi" w:hAnsiTheme="majorHAnsi"/>
          <w:sz w:val="20"/>
          <w:szCs w:val="20"/>
          <w:lang w:val="es-ES"/>
        </w:rPr>
        <w:t>R</w:t>
      </w:r>
      <w:r w:rsidR="00FC134D" w:rsidRPr="00EE3466">
        <w:rPr>
          <w:rFonts w:asciiTheme="majorHAnsi" w:hAnsiTheme="majorHAnsi"/>
          <w:sz w:val="20"/>
          <w:szCs w:val="20"/>
          <w:lang w:val="es-ES"/>
        </w:rPr>
        <w:t xml:space="preserve">especto del recurso de amparo, la Comisión </w:t>
      </w:r>
      <w:r w:rsidR="00D86411" w:rsidRPr="00EE3466">
        <w:rPr>
          <w:rFonts w:asciiTheme="majorHAnsi" w:hAnsiTheme="majorHAnsi"/>
          <w:sz w:val="20"/>
          <w:szCs w:val="20"/>
          <w:lang w:val="es-ES"/>
        </w:rPr>
        <w:t xml:space="preserve">observa </w:t>
      </w:r>
      <w:r w:rsidR="00FC134D" w:rsidRPr="00EE3466">
        <w:rPr>
          <w:rFonts w:asciiTheme="majorHAnsi" w:hAnsiTheme="majorHAnsi"/>
          <w:sz w:val="20"/>
          <w:szCs w:val="20"/>
          <w:lang w:val="es-ES"/>
        </w:rPr>
        <w:t xml:space="preserve">que por vincularse </w:t>
      </w:r>
      <w:r w:rsidR="00964469">
        <w:rPr>
          <w:rFonts w:asciiTheme="majorHAnsi" w:hAnsiTheme="majorHAnsi"/>
          <w:sz w:val="20"/>
          <w:szCs w:val="20"/>
          <w:lang w:val="es-ES"/>
        </w:rPr>
        <w:t xml:space="preserve">el caso </w:t>
      </w:r>
      <w:r w:rsidR="00FC134D" w:rsidRPr="00EE3466">
        <w:rPr>
          <w:rFonts w:asciiTheme="majorHAnsi" w:hAnsiTheme="majorHAnsi"/>
          <w:sz w:val="20"/>
          <w:szCs w:val="20"/>
          <w:lang w:val="es-ES"/>
        </w:rPr>
        <w:t>a un supuesto delito en contra la integridad de una niña,</w:t>
      </w:r>
      <w:r w:rsidR="003E257B">
        <w:rPr>
          <w:rFonts w:asciiTheme="majorHAnsi" w:hAnsiTheme="majorHAnsi"/>
          <w:sz w:val="20"/>
          <w:szCs w:val="20"/>
          <w:lang w:val="es-ES"/>
        </w:rPr>
        <w:t xml:space="preserve"> correspondía a la Procuraduría </w:t>
      </w:r>
      <w:r w:rsidR="003E257B" w:rsidRPr="00EE3466">
        <w:rPr>
          <w:rFonts w:asciiTheme="majorHAnsi" w:hAnsiTheme="majorHAnsi"/>
          <w:sz w:val="20"/>
          <w:szCs w:val="20"/>
          <w:lang w:val="es-ES"/>
        </w:rPr>
        <w:t xml:space="preserve">Federal de Protección de Niñas, Niños y Adolescentes </w:t>
      </w:r>
      <w:r w:rsidR="00FC134D" w:rsidRPr="00EE3466">
        <w:rPr>
          <w:rFonts w:asciiTheme="majorHAnsi" w:hAnsiTheme="majorHAnsi"/>
          <w:sz w:val="20"/>
          <w:szCs w:val="20"/>
          <w:lang w:val="es-ES"/>
        </w:rPr>
        <w:t xml:space="preserve">haberlo </w:t>
      </w:r>
      <w:r w:rsidR="00D86411" w:rsidRPr="00EE3466">
        <w:rPr>
          <w:rFonts w:asciiTheme="majorHAnsi" w:hAnsiTheme="majorHAnsi"/>
          <w:sz w:val="20"/>
          <w:szCs w:val="20"/>
          <w:lang w:val="es-ES"/>
        </w:rPr>
        <w:t>impulsado</w:t>
      </w:r>
      <w:r w:rsidR="00FC134D" w:rsidRPr="00EE3466">
        <w:rPr>
          <w:rFonts w:asciiTheme="majorHAnsi" w:hAnsiTheme="majorHAnsi"/>
          <w:sz w:val="20"/>
          <w:szCs w:val="20"/>
          <w:lang w:val="es-ES"/>
        </w:rPr>
        <w:t xml:space="preserve">. Asimismo, la CIDH observa </w:t>
      </w:r>
      <w:r w:rsidR="00EE3466" w:rsidRPr="00EE3466">
        <w:rPr>
          <w:rFonts w:asciiTheme="majorHAnsi" w:hAnsiTheme="majorHAnsi"/>
          <w:sz w:val="20"/>
          <w:szCs w:val="20"/>
          <w:lang w:val="es-ES"/>
        </w:rPr>
        <w:t>que,</w:t>
      </w:r>
      <w:r w:rsidR="00FC134D" w:rsidRPr="00EE3466">
        <w:rPr>
          <w:rFonts w:asciiTheme="majorHAnsi" w:hAnsiTheme="majorHAnsi"/>
          <w:sz w:val="20"/>
          <w:szCs w:val="20"/>
          <w:lang w:val="es-ES"/>
        </w:rPr>
        <w:t xml:space="preserve"> si la parte peticionaria hubiera agotado dicho recurso,</w:t>
      </w:r>
      <w:r w:rsidR="00225E0C" w:rsidRPr="00EE3466">
        <w:rPr>
          <w:rFonts w:asciiTheme="majorHAnsi" w:hAnsiTheme="majorHAnsi"/>
          <w:sz w:val="20"/>
          <w:szCs w:val="20"/>
          <w:lang w:val="es-ES"/>
        </w:rPr>
        <w:t xml:space="preserve"> ese</w:t>
      </w:r>
      <w:r w:rsidR="00FC134D" w:rsidRPr="00EE3466">
        <w:rPr>
          <w:rFonts w:asciiTheme="majorHAnsi" w:hAnsiTheme="majorHAnsi"/>
          <w:sz w:val="20"/>
          <w:szCs w:val="20"/>
          <w:lang w:val="es-ES"/>
        </w:rPr>
        <w:t xml:space="preserve"> solamente evaluaría el delito contra el honor, </w:t>
      </w:r>
      <w:r w:rsidR="00D86411" w:rsidRPr="00EE3466">
        <w:rPr>
          <w:rFonts w:asciiTheme="majorHAnsi" w:hAnsiTheme="majorHAnsi"/>
          <w:sz w:val="20"/>
          <w:szCs w:val="20"/>
          <w:lang w:val="es-ES"/>
        </w:rPr>
        <w:t xml:space="preserve">sin que se hubiera iniciado </w:t>
      </w:r>
      <w:r w:rsidR="00FC134D" w:rsidRPr="00EE3466">
        <w:rPr>
          <w:rFonts w:asciiTheme="majorHAnsi" w:hAnsiTheme="majorHAnsi"/>
          <w:sz w:val="20"/>
          <w:szCs w:val="20"/>
          <w:lang w:val="es-ES"/>
        </w:rPr>
        <w:t xml:space="preserve">investigación </w:t>
      </w:r>
      <w:r w:rsidR="00D86411" w:rsidRPr="00EE3466">
        <w:rPr>
          <w:rFonts w:asciiTheme="majorHAnsi" w:hAnsiTheme="majorHAnsi"/>
          <w:sz w:val="20"/>
          <w:szCs w:val="20"/>
          <w:lang w:val="es-ES"/>
        </w:rPr>
        <w:t xml:space="preserve">alguna </w:t>
      </w:r>
      <w:r w:rsidR="00FC134D" w:rsidRPr="00EE3466">
        <w:rPr>
          <w:rFonts w:asciiTheme="majorHAnsi" w:hAnsiTheme="majorHAnsi"/>
          <w:sz w:val="20"/>
          <w:szCs w:val="20"/>
          <w:lang w:val="es-ES"/>
        </w:rPr>
        <w:t xml:space="preserve">sobre la </w:t>
      </w:r>
      <w:r w:rsidR="00D86411" w:rsidRPr="00EE3466">
        <w:rPr>
          <w:rFonts w:asciiTheme="majorHAnsi" w:hAnsiTheme="majorHAnsi"/>
          <w:sz w:val="20"/>
          <w:szCs w:val="20"/>
          <w:lang w:val="es-ES"/>
        </w:rPr>
        <w:t xml:space="preserve">posible </w:t>
      </w:r>
      <w:r w:rsidR="00FC134D" w:rsidRPr="00EE3466">
        <w:rPr>
          <w:rFonts w:asciiTheme="majorHAnsi" w:hAnsiTheme="majorHAnsi"/>
          <w:sz w:val="20"/>
          <w:szCs w:val="20"/>
          <w:lang w:val="es-ES"/>
        </w:rPr>
        <w:t xml:space="preserve">violación a la integridad personal. </w:t>
      </w:r>
    </w:p>
    <w:p w14:paraId="4C6645BB" w14:textId="3B0026EA" w:rsidR="00E01DF9" w:rsidRPr="00EE3466" w:rsidRDefault="00D86411" w:rsidP="00EE34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E3466">
        <w:rPr>
          <w:rFonts w:asciiTheme="majorHAnsi" w:hAnsiTheme="majorHAnsi" w:cs="Calibri"/>
          <w:sz w:val="20"/>
          <w:szCs w:val="20"/>
          <w:lang w:val="es-ES"/>
        </w:rPr>
        <w:t xml:space="preserve">Respecto al plazo de presentación, en vista de que opera la excepción al agotamiento de los recursos internos, </w:t>
      </w:r>
      <w:r w:rsidR="0073313D" w:rsidRPr="00EE3466">
        <w:rPr>
          <w:rFonts w:asciiTheme="majorHAnsi" w:hAnsiTheme="majorHAnsi" w:cs="Calibri"/>
          <w:sz w:val="20"/>
          <w:szCs w:val="20"/>
          <w:lang w:val="es-ES_tradnl"/>
        </w:rPr>
        <w:t xml:space="preserve">la Comisión concluye que la petición </w:t>
      </w:r>
      <w:r w:rsidRPr="00EE3466">
        <w:rPr>
          <w:rFonts w:asciiTheme="majorHAnsi" w:hAnsiTheme="majorHAnsi" w:cs="Calibri"/>
          <w:sz w:val="20"/>
          <w:szCs w:val="20"/>
          <w:lang w:val="es-ES_tradnl"/>
        </w:rPr>
        <w:t xml:space="preserve">fue </w:t>
      </w:r>
      <w:r w:rsidR="0073313D" w:rsidRPr="00EE3466">
        <w:rPr>
          <w:rFonts w:asciiTheme="majorHAnsi" w:hAnsiTheme="majorHAnsi" w:cs="Calibri"/>
          <w:sz w:val="20"/>
          <w:szCs w:val="20"/>
          <w:lang w:val="es-ES_tradnl"/>
        </w:rPr>
        <w:t>presentad</w:t>
      </w:r>
      <w:r w:rsidRPr="00EE3466">
        <w:rPr>
          <w:rFonts w:asciiTheme="majorHAnsi" w:hAnsiTheme="majorHAnsi" w:cs="Calibri"/>
          <w:sz w:val="20"/>
          <w:szCs w:val="20"/>
          <w:lang w:val="es-ES_tradnl"/>
        </w:rPr>
        <w:t>a</w:t>
      </w:r>
      <w:r w:rsidR="0073313D" w:rsidRPr="00EE3466">
        <w:rPr>
          <w:rFonts w:asciiTheme="majorHAnsi" w:hAnsiTheme="majorHAnsi" w:cs="Calibri"/>
          <w:sz w:val="20"/>
          <w:szCs w:val="20"/>
          <w:lang w:val="es-ES_tradnl"/>
        </w:rPr>
        <w:t xml:space="preserve"> dentro de un plazo razonable con fundamente en el artículo 32.2 de su Reglamento</w:t>
      </w:r>
      <w:r w:rsidRPr="00EE3466">
        <w:rPr>
          <w:rFonts w:asciiTheme="majorHAnsi" w:hAnsiTheme="majorHAnsi" w:cs="Calibri"/>
          <w:sz w:val="20"/>
          <w:szCs w:val="20"/>
          <w:lang w:val="es-ES_tradnl"/>
        </w:rPr>
        <w:t xml:space="preserve"> dando </w:t>
      </w:r>
      <w:r w:rsidR="0073313D" w:rsidRPr="00EE3466">
        <w:rPr>
          <w:rFonts w:asciiTheme="majorHAnsi" w:hAnsiTheme="majorHAnsi" w:cs="Calibri"/>
          <w:sz w:val="20"/>
          <w:szCs w:val="20"/>
          <w:lang w:val="es-ES_tradnl"/>
        </w:rPr>
        <w:t>por satisfecho el requisito de admisibilidad referente al plazo de presentación.</w:t>
      </w:r>
    </w:p>
    <w:p w14:paraId="49B4B5F3" w14:textId="1DDEE385" w:rsidR="00E277DF" w:rsidRDefault="00E277DF" w:rsidP="00E277DF">
      <w:pPr>
        <w:pStyle w:val="ListParagraph"/>
        <w:spacing w:before="120" w:after="120"/>
        <w:jc w:val="both"/>
        <w:rPr>
          <w:rFonts w:asciiTheme="majorHAnsi" w:hAnsiTheme="majorHAnsi"/>
          <w:b/>
          <w:bCs/>
          <w:color w:val="auto"/>
          <w:sz w:val="20"/>
          <w:szCs w:val="20"/>
          <w:lang w:val="es-ES"/>
        </w:rPr>
      </w:pPr>
      <w:r w:rsidRPr="00A30410">
        <w:rPr>
          <w:rFonts w:asciiTheme="majorHAnsi" w:hAnsiTheme="majorHAnsi"/>
          <w:b/>
          <w:bCs/>
          <w:color w:val="auto"/>
          <w:sz w:val="20"/>
          <w:szCs w:val="20"/>
          <w:lang w:val="es-ES"/>
        </w:rPr>
        <w:t xml:space="preserve">VII. </w:t>
      </w:r>
      <w:r w:rsidRPr="00A30410">
        <w:rPr>
          <w:rFonts w:asciiTheme="majorHAnsi" w:hAnsiTheme="majorHAnsi"/>
          <w:b/>
          <w:bCs/>
          <w:color w:val="auto"/>
          <w:sz w:val="20"/>
          <w:szCs w:val="20"/>
          <w:lang w:val="es-ES"/>
        </w:rPr>
        <w:tab/>
        <w:t>CARACTERIZACIÓN</w:t>
      </w:r>
    </w:p>
    <w:p w14:paraId="4C0B9D92" w14:textId="39E57ADD" w:rsidR="00EE3466" w:rsidRDefault="00A0597B" w:rsidP="00EE34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A0597B">
        <w:rPr>
          <w:rFonts w:ascii="Cambria" w:hAnsi="Cambria"/>
          <w:sz w:val="20"/>
          <w:szCs w:val="20"/>
          <w:lang w:val="es-ES"/>
        </w:rPr>
        <w:t xml:space="preserve">La Comisión observa que la presente petición incluye alegaciones con respecto a la alegada falta de protección judicial y prevención del Estado respecto del hecho de obligar a la presunta víctima, una niña de 14 años, a desnudarse </w:t>
      </w:r>
      <w:r w:rsidR="00B4503A">
        <w:rPr>
          <w:rFonts w:ascii="Cambria" w:hAnsi="Cambria"/>
          <w:sz w:val="20"/>
          <w:szCs w:val="20"/>
          <w:lang w:val="es-ES"/>
        </w:rPr>
        <w:t xml:space="preserve">dentro de su centro educativo </w:t>
      </w:r>
      <w:r w:rsidRPr="00A0597B">
        <w:rPr>
          <w:rFonts w:ascii="Cambria" w:hAnsi="Cambria"/>
          <w:sz w:val="20"/>
          <w:szCs w:val="20"/>
          <w:lang w:val="es-ES"/>
        </w:rPr>
        <w:t xml:space="preserve">y, ante su negación, desabrochar a fuerza su ropa mientras otras personas la grababan, </w:t>
      </w:r>
      <w:r w:rsidRPr="00A0597B">
        <w:rPr>
          <w:rFonts w:ascii="Cambria" w:hAnsi="Cambria" w:cs="Calibri"/>
          <w:sz w:val="20"/>
          <w:szCs w:val="20"/>
          <w:lang w:val="es-ES"/>
        </w:rPr>
        <w:t>así como la alegada falta de debida diligencia en la investigación, juzgamiento y sanción de los hechos denunciados y la ausencia de la actuación del Ministerio Público.</w:t>
      </w:r>
    </w:p>
    <w:p w14:paraId="69CE3915" w14:textId="43158ABC" w:rsidR="00EE3466" w:rsidRPr="003E257B" w:rsidRDefault="00A0597B" w:rsidP="00EE34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E3466">
        <w:rPr>
          <w:rFonts w:ascii="Cambria" w:hAnsi="Cambria"/>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w:t>
      </w:r>
      <w:r w:rsidR="00A94B46" w:rsidRPr="00EE3466">
        <w:rPr>
          <w:rFonts w:ascii="Cambria" w:hAnsi="Cambria" w:cs="Calibri"/>
          <w:sz w:val="20"/>
          <w:szCs w:val="20"/>
          <w:lang w:val="es-ES"/>
        </w:rPr>
        <w:t xml:space="preserve">artículos </w:t>
      </w:r>
      <w:r w:rsidR="00A94B46" w:rsidRPr="00EE3466">
        <w:rPr>
          <w:rFonts w:ascii="Cambria" w:hAnsi="Cambria"/>
          <w:bCs/>
          <w:sz w:val="20"/>
          <w:szCs w:val="20"/>
          <w:lang w:val="es-ES"/>
        </w:rPr>
        <w:t>5 (integridad personal), 8 (garantías judiciales), 11 (protección de la honra y de la dignidad), 19 (derechos del niño) y 25 (protección judicial) de la Convención Americana, con relación a su artículo 1.1.</w:t>
      </w:r>
      <w:r w:rsidR="00A94B46" w:rsidRPr="00EE3466">
        <w:rPr>
          <w:rFonts w:asciiTheme="majorHAnsi" w:hAnsiTheme="majorHAnsi"/>
          <w:sz w:val="20"/>
          <w:szCs w:val="20"/>
          <w:lang w:val="es-ES"/>
        </w:rPr>
        <w:t xml:space="preserve"> Asimismo, la Comisión </w:t>
      </w:r>
      <w:r w:rsidR="00A94B46" w:rsidRPr="00EE3466">
        <w:rPr>
          <w:rFonts w:ascii="Cambria" w:hAnsi="Cambria"/>
          <w:bCs/>
          <w:sz w:val="20"/>
          <w:szCs w:val="20"/>
          <w:lang w:val="es-ES"/>
        </w:rPr>
        <w:t xml:space="preserve">considera que la supuesta ausencia de investigación de un delito contra la integridad que, de ser probado, podría ser configurado como violencia </w:t>
      </w:r>
      <w:r w:rsidR="00A94B46" w:rsidRPr="00EE3466">
        <w:rPr>
          <w:rFonts w:ascii="Cambria" w:hAnsi="Cambria"/>
          <w:bCs/>
          <w:sz w:val="20"/>
          <w:szCs w:val="20"/>
          <w:lang w:val="es-ES"/>
        </w:rPr>
        <w:lastRenderedPageBreak/>
        <w:t>sexual, así como la falta de investigación en y su caracterización como “delitos en contra el honor”,</w:t>
      </w:r>
      <w:r w:rsidR="00A94B46" w:rsidRPr="00A0597B">
        <w:rPr>
          <w:rStyle w:val="FootnoteReference"/>
          <w:rFonts w:ascii="Cambria" w:hAnsi="Cambria"/>
          <w:sz w:val="20"/>
          <w:szCs w:val="20"/>
          <w:lang w:val="es-ES"/>
        </w:rPr>
        <w:footnoteReference w:id="13"/>
      </w:r>
      <w:r w:rsidR="00A94B46" w:rsidRPr="00EE3466">
        <w:rPr>
          <w:rFonts w:asciiTheme="majorHAnsi" w:hAnsiTheme="majorHAnsi"/>
          <w:sz w:val="20"/>
          <w:szCs w:val="20"/>
          <w:lang w:val="es-ES"/>
        </w:rPr>
        <w:t xml:space="preserve"> </w:t>
      </w:r>
      <w:r w:rsidR="00A94B46" w:rsidRPr="00EE3466">
        <w:rPr>
          <w:rFonts w:ascii="Cambria" w:hAnsi="Cambria"/>
          <w:bCs/>
          <w:sz w:val="20"/>
          <w:szCs w:val="20"/>
          <w:lang w:val="es-ES"/>
        </w:rPr>
        <w:t>pueden constituir violaciones al el artículo 7 de la Convención de Belém do Pará</w:t>
      </w:r>
      <w:r w:rsidR="00EE3466">
        <w:rPr>
          <w:rFonts w:asciiTheme="majorHAnsi" w:hAnsiTheme="majorHAnsi"/>
          <w:sz w:val="20"/>
          <w:szCs w:val="20"/>
          <w:lang w:val="es-ES"/>
        </w:rPr>
        <w:t xml:space="preserve"> en prejuicio de G.V.L.B.</w:t>
      </w:r>
    </w:p>
    <w:p w14:paraId="33A75331" w14:textId="3B02B55B" w:rsidR="00B4503A" w:rsidRPr="003E257B" w:rsidRDefault="00B4503A" w:rsidP="00EE34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Adicionalmente, teniendo en cuenta el alegato de la peticionari</w:t>
      </w:r>
      <w:r w:rsidR="00B04CB8">
        <w:rPr>
          <w:rFonts w:asciiTheme="majorHAnsi" w:hAnsiTheme="majorHAnsi"/>
          <w:sz w:val="20"/>
          <w:szCs w:val="20"/>
          <w:lang w:val="es-ES"/>
        </w:rPr>
        <w:t>a</w:t>
      </w:r>
      <w:r>
        <w:rPr>
          <w:rFonts w:asciiTheme="majorHAnsi" w:hAnsiTheme="majorHAnsi"/>
          <w:sz w:val="20"/>
          <w:szCs w:val="20"/>
          <w:lang w:val="es-ES"/>
        </w:rPr>
        <w:t xml:space="preserve"> sobre que los hechos habrían sido realizados por personal de un centro educativo privado, la CIDH </w:t>
      </w:r>
      <w:r w:rsidR="00B04CB8">
        <w:rPr>
          <w:rFonts w:asciiTheme="majorHAnsi" w:hAnsiTheme="majorHAnsi"/>
          <w:sz w:val="20"/>
          <w:szCs w:val="20"/>
          <w:lang w:val="es-ES"/>
        </w:rPr>
        <w:t>considera que de c</w:t>
      </w:r>
      <w:r w:rsidR="00641644">
        <w:rPr>
          <w:rFonts w:asciiTheme="majorHAnsi" w:hAnsiTheme="majorHAnsi"/>
          <w:sz w:val="20"/>
          <w:szCs w:val="20"/>
          <w:lang w:val="es-ES"/>
        </w:rPr>
        <w:t xml:space="preserve">orroborarse ausencia de actuación del Estado de conformidad a sus deberes de regulación y fiscalización sobre prácticas ejercidas por el personal de los centros educativos que puedan afectar el derecho a recibir una educación en condiciones de seguridad </w:t>
      </w:r>
      <w:r w:rsidR="00641644" w:rsidRPr="003E257B">
        <w:rPr>
          <w:rFonts w:asciiTheme="majorHAnsi" w:hAnsiTheme="majorHAnsi"/>
          <w:sz w:val="20"/>
          <w:szCs w:val="20"/>
          <w:lang w:val="es-ES"/>
        </w:rPr>
        <w:t xml:space="preserve">a la luz del interés superior de los niños y niñas puede caracterizar </w:t>
      </w:r>
      <w:r w:rsidR="00CD0B9B">
        <w:rPr>
          <w:rFonts w:asciiTheme="majorHAnsi" w:hAnsiTheme="majorHAnsi"/>
          <w:sz w:val="20"/>
          <w:szCs w:val="20"/>
          <w:lang w:val="es-ES"/>
        </w:rPr>
        <w:t xml:space="preserve">una </w:t>
      </w:r>
      <w:r w:rsidR="00641644" w:rsidRPr="003E257B">
        <w:rPr>
          <w:rFonts w:asciiTheme="majorHAnsi" w:hAnsiTheme="majorHAnsi"/>
          <w:sz w:val="20"/>
          <w:szCs w:val="20"/>
          <w:lang w:val="es-ES"/>
        </w:rPr>
        <w:t xml:space="preserve">violación </w:t>
      </w:r>
      <w:r w:rsidR="00CD0B9B">
        <w:rPr>
          <w:rFonts w:asciiTheme="majorHAnsi" w:hAnsiTheme="majorHAnsi"/>
          <w:sz w:val="20"/>
          <w:szCs w:val="20"/>
          <w:lang w:val="es-ES"/>
        </w:rPr>
        <w:t>del</w:t>
      </w:r>
      <w:r w:rsidR="00641644" w:rsidRPr="003E257B">
        <w:rPr>
          <w:rFonts w:asciiTheme="majorHAnsi" w:hAnsiTheme="majorHAnsi"/>
          <w:sz w:val="20"/>
          <w:szCs w:val="20"/>
          <w:lang w:val="es-ES"/>
        </w:rPr>
        <w:t xml:space="preserve"> artículo 26 (derechos económicos, sociales y culturales) de la Convención Americana.</w:t>
      </w:r>
      <w:r w:rsidR="00B04CB8">
        <w:rPr>
          <w:rFonts w:asciiTheme="majorHAnsi" w:hAnsiTheme="majorHAnsi"/>
          <w:sz w:val="20"/>
          <w:szCs w:val="20"/>
          <w:lang w:val="es-ES"/>
        </w:rPr>
        <w:t xml:space="preserve"> </w:t>
      </w:r>
    </w:p>
    <w:p w14:paraId="4B909447" w14:textId="77777777" w:rsidR="00EE3466" w:rsidRDefault="006A3BA6" w:rsidP="00EE34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E3466">
        <w:rPr>
          <w:rFonts w:ascii="Cambria" w:hAnsi="Cambria"/>
          <w:sz w:val="20"/>
          <w:szCs w:val="20"/>
          <w:lang w:val="es-ES"/>
        </w:rPr>
        <w:t>En cuanto a l</w:t>
      </w:r>
      <w:r w:rsidR="00DD12D8" w:rsidRPr="00EE3466">
        <w:rPr>
          <w:rFonts w:ascii="Cambria" w:hAnsi="Cambria" w:cs="Calibri"/>
          <w:sz w:val="20"/>
          <w:szCs w:val="20"/>
          <w:lang w:val="es-ES_tradnl"/>
        </w:rPr>
        <w:t>a supuesta falta de</w:t>
      </w:r>
      <w:r w:rsidR="00DB7322" w:rsidRPr="00EE3466">
        <w:rPr>
          <w:rFonts w:ascii="Cambria" w:hAnsi="Cambria" w:cs="Calibri"/>
          <w:sz w:val="20"/>
          <w:szCs w:val="20"/>
          <w:lang w:val="es-ES_tradnl"/>
        </w:rPr>
        <w:t>l derecho de</w:t>
      </w:r>
      <w:r w:rsidR="00DD12D8" w:rsidRPr="00EE3466">
        <w:rPr>
          <w:rFonts w:ascii="Cambria" w:hAnsi="Cambria" w:cs="Calibri"/>
          <w:sz w:val="20"/>
          <w:szCs w:val="20"/>
          <w:lang w:val="es-ES_tradnl"/>
        </w:rPr>
        <w:t xml:space="preserve"> </w:t>
      </w:r>
      <w:r w:rsidR="002E601F" w:rsidRPr="00EE3466">
        <w:rPr>
          <w:rFonts w:ascii="Cambria" w:hAnsi="Cambria"/>
          <w:bCs/>
          <w:sz w:val="20"/>
          <w:szCs w:val="20"/>
          <w:lang w:val="es-ES"/>
        </w:rPr>
        <w:t xml:space="preserve">rectificación </w:t>
      </w:r>
      <w:r w:rsidR="00DB7322" w:rsidRPr="00EE3466">
        <w:rPr>
          <w:rFonts w:ascii="Cambria" w:hAnsi="Cambria"/>
          <w:bCs/>
          <w:sz w:val="20"/>
          <w:szCs w:val="20"/>
          <w:lang w:val="es-ES"/>
        </w:rPr>
        <w:t>o respuesta</w:t>
      </w:r>
      <w:r w:rsidR="00DD12D8" w:rsidRPr="00EE3466">
        <w:rPr>
          <w:rFonts w:ascii="Cambria" w:hAnsi="Cambria" w:cs="Calibri"/>
          <w:sz w:val="20"/>
          <w:szCs w:val="20"/>
          <w:lang w:val="es-ES_tradnl"/>
        </w:rPr>
        <w:t xml:space="preserve">, </w:t>
      </w:r>
      <w:r w:rsidRPr="00EE3466">
        <w:rPr>
          <w:rFonts w:ascii="Cambria" w:hAnsi="Cambria"/>
          <w:sz w:val="20"/>
          <w:szCs w:val="20"/>
          <w:lang w:val="es-ES"/>
        </w:rPr>
        <w:t>la Comisión observa que el peticionario no ha ofrecido alegatos o sustento suficiente que permita considerar prima facie su posible violación.</w:t>
      </w:r>
    </w:p>
    <w:p w14:paraId="1D7BDEBB" w14:textId="186A92DB" w:rsidR="00DD12D8" w:rsidRPr="00EE3466" w:rsidRDefault="00DD12D8" w:rsidP="00EE34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E3466">
        <w:rPr>
          <w:rFonts w:asciiTheme="majorHAnsi" w:hAnsiTheme="majorHAnsi" w:cs="Calibri"/>
          <w:sz w:val="20"/>
          <w:szCs w:val="20"/>
          <w:lang w:val="es-ES_tradnl"/>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w:t>
      </w:r>
    </w:p>
    <w:p w14:paraId="6B21718F" w14:textId="77777777" w:rsidR="00E277DF" w:rsidRPr="00A30410" w:rsidRDefault="00E277DF" w:rsidP="00E277D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A30410">
        <w:rPr>
          <w:rFonts w:asciiTheme="majorHAnsi" w:hAnsiTheme="majorHAnsi"/>
          <w:b/>
          <w:bCs/>
          <w:sz w:val="20"/>
          <w:szCs w:val="20"/>
          <w:lang w:val="es-ES"/>
        </w:rPr>
        <w:t xml:space="preserve">VIII. </w:t>
      </w:r>
      <w:r w:rsidRPr="00A30410">
        <w:rPr>
          <w:rFonts w:asciiTheme="majorHAnsi" w:hAnsiTheme="majorHAnsi"/>
          <w:b/>
          <w:bCs/>
          <w:sz w:val="20"/>
          <w:szCs w:val="20"/>
          <w:lang w:val="es-ES"/>
        </w:rPr>
        <w:tab/>
        <w:t>DECISIÓN</w:t>
      </w:r>
    </w:p>
    <w:p w14:paraId="7D0E6DBC" w14:textId="328427F9" w:rsidR="00E277DF" w:rsidRPr="00A30410" w:rsidRDefault="00E277DF" w:rsidP="00E277D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A30410">
        <w:rPr>
          <w:rFonts w:asciiTheme="majorHAnsi" w:hAnsiTheme="majorHAnsi"/>
          <w:sz w:val="20"/>
          <w:szCs w:val="20"/>
          <w:lang w:val="es-ES"/>
        </w:rPr>
        <w:t xml:space="preserve">Declarar admisible la presente petición en relación con los </w:t>
      </w:r>
      <w:r w:rsidRPr="00A30410">
        <w:rPr>
          <w:rFonts w:ascii="Cambria" w:hAnsi="Cambria"/>
          <w:bCs/>
          <w:sz w:val="20"/>
          <w:szCs w:val="20"/>
          <w:lang w:val="es-ES"/>
        </w:rPr>
        <w:t xml:space="preserve">artículos </w:t>
      </w:r>
      <w:r w:rsidR="00F60648" w:rsidRPr="00A30410">
        <w:rPr>
          <w:rFonts w:ascii="Cambria" w:hAnsi="Cambria"/>
          <w:bCs/>
          <w:sz w:val="20"/>
          <w:szCs w:val="20"/>
          <w:lang w:val="es-ES"/>
        </w:rPr>
        <w:t>5 (integridad personal), 8 (garantías judiciales), 11 (protección de la honra y de la dignidad), 19 (derechos del niño)</w:t>
      </w:r>
      <w:r w:rsidR="00CD0B9B">
        <w:rPr>
          <w:rFonts w:ascii="Cambria" w:hAnsi="Cambria"/>
          <w:bCs/>
          <w:sz w:val="20"/>
          <w:szCs w:val="20"/>
          <w:lang w:val="es-ES"/>
        </w:rPr>
        <w:t>,</w:t>
      </w:r>
      <w:r w:rsidR="00F60648" w:rsidRPr="00A30410">
        <w:rPr>
          <w:rFonts w:ascii="Cambria" w:hAnsi="Cambria"/>
          <w:bCs/>
          <w:sz w:val="20"/>
          <w:szCs w:val="20"/>
          <w:lang w:val="es-ES"/>
        </w:rPr>
        <w:t xml:space="preserve"> 25 (protección judicial) </w:t>
      </w:r>
      <w:r w:rsidR="00CD0B9B">
        <w:rPr>
          <w:rFonts w:ascii="Cambria" w:hAnsi="Cambria"/>
          <w:bCs/>
          <w:sz w:val="20"/>
          <w:szCs w:val="20"/>
          <w:lang w:val="es-ES"/>
        </w:rPr>
        <w:t xml:space="preserve">y 26 (derechos económicos, sociales y culturales) </w:t>
      </w:r>
      <w:r w:rsidR="00F60648" w:rsidRPr="00A30410">
        <w:rPr>
          <w:rFonts w:ascii="Cambria" w:hAnsi="Cambria"/>
          <w:bCs/>
          <w:sz w:val="20"/>
          <w:szCs w:val="20"/>
          <w:lang w:val="es-ES"/>
        </w:rPr>
        <w:t>de la Convención Americana, con relación a su artículo 1.1; y con el artículo 7 de la Convención de Belém do Pará</w:t>
      </w:r>
      <w:r w:rsidRPr="00A30410">
        <w:rPr>
          <w:rFonts w:asciiTheme="majorHAnsi" w:hAnsiTheme="majorHAnsi"/>
          <w:sz w:val="20"/>
          <w:szCs w:val="20"/>
          <w:lang w:val="es-ES"/>
        </w:rPr>
        <w:t>;</w:t>
      </w:r>
    </w:p>
    <w:p w14:paraId="2D94CFFE" w14:textId="5445440C" w:rsidR="00E277DF" w:rsidRPr="00A30410" w:rsidRDefault="00E277DF" w:rsidP="00E277DF">
      <w:pPr>
        <w:pStyle w:val="ListParagraph"/>
        <w:numPr>
          <w:ilvl w:val="0"/>
          <w:numId w:val="62"/>
        </w:numPr>
        <w:spacing w:after="120"/>
        <w:jc w:val="both"/>
        <w:rPr>
          <w:rFonts w:eastAsia="Arial Unicode MS" w:cs="Times New Roman"/>
          <w:color w:val="auto"/>
          <w:sz w:val="20"/>
          <w:szCs w:val="20"/>
          <w:lang w:val="es-ES" w:eastAsia="en-US"/>
        </w:rPr>
      </w:pPr>
      <w:r w:rsidRPr="00A30410">
        <w:rPr>
          <w:rFonts w:eastAsia="Arial Unicode MS" w:cs="Times New Roman"/>
          <w:color w:val="auto"/>
          <w:sz w:val="20"/>
          <w:szCs w:val="20"/>
          <w:lang w:val="es-ES" w:eastAsia="en-US"/>
        </w:rPr>
        <w:t xml:space="preserve">Declarar inadmisible la presente petición en relación con </w:t>
      </w:r>
      <w:r w:rsidRPr="00A30410">
        <w:rPr>
          <w:color w:val="auto"/>
          <w:sz w:val="20"/>
          <w:szCs w:val="20"/>
          <w:lang w:val="es-ES"/>
        </w:rPr>
        <w:t xml:space="preserve">los artículos </w:t>
      </w:r>
      <w:r w:rsidR="00F60648" w:rsidRPr="00A30410">
        <w:rPr>
          <w:bCs/>
          <w:color w:val="auto"/>
          <w:sz w:val="20"/>
          <w:szCs w:val="20"/>
          <w:lang w:val="es-ES"/>
        </w:rPr>
        <w:t>14 (r</w:t>
      </w:r>
      <w:r w:rsidR="002E601F">
        <w:rPr>
          <w:bCs/>
          <w:color w:val="auto"/>
          <w:sz w:val="20"/>
          <w:szCs w:val="20"/>
          <w:lang w:val="es-ES"/>
        </w:rPr>
        <w:t>ec</w:t>
      </w:r>
      <w:r w:rsidR="00F60648" w:rsidRPr="00A30410">
        <w:rPr>
          <w:bCs/>
          <w:color w:val="auto"/>
          <w:sz w:val="20"/>
          <w:szCs w:val="20"/>
          <w:lang w:val="es-ES"/>
        </w:rPr>
        <w:t>tificación o respuesta) de la Convención Americana</w:t>
      </w:r>
      <w:r w:rsidRPr="00A30410">
        <w:rPr>
          <w:rFonts w:eastAsia="Arial Unicode MS" w:cs="Times New Roman"/>
          <w:color w:val="auto"/>
          <w:sz w:val="20"/>
          <w:szCs w:val="20"/>
          <w:lang w:val="es-ES" w:eastAsia="en-US"/>
        </w:rPr>
        <w:t>; y</w:t>
      </w:r>
    </w:p>
    <w:p w14:paraId="40FBFF24" w14:textId="4345B533" w:rsidR="00E277DF" w:rsidRDefault="00E277DF" w:rsidP="00E277D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A30410">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A66E67F" w14:textId="04576F17" w:rsidR="00FD2779" w:rsidRPr="00A37B82" w:rsidRDefault="00FD2779" w:rsidP="00FD277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w:t>
      </w:r>
      <w:r>
        <w:rPr>
          <w:rFonts w:asciiTheme="majorHAnsi" w:hAnsiTheme="majorHAnsi" w:cs="Arial"/>
          <w:noProof/>
          <w:spacing w:val="-2"/>
          <w:sz w:val="20"/>
          <w:szCs w:val="20"/>
          <w:lang w:val="es-CL"/>
        </w:rPr>
        <w:t xml:space="preserve"> 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1766948" w14:textId="255EA380" w:rsidR="00FD2779" w:rsidRDefault="00FD2779">
      <w:pPr>
        <w:rPr>
          <w:rFonts w:ascii="Cambria" w:hAnsi="Cambria" w:cs="Arial"/>
          <w:noProof/>
          <w:sz w:val="20"/>
          <w:szCs w:val="20"/>
          <w:lang w:val="es-CL"/>
        </w:rPr>
      </w:pPr>
    </w:p>
    <w:sectPr w:rsidR="00FD277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2C14A" w14:textId="77777777" w:rsidR="00A52C4D" w:rsidRDefault="00A52C4D">
      <w:r>
        <w:separator/>
      </w:r>
    </w:p>
  </w:endnote>
  <w:endnote w:type="continuationSeparator" w:id="0">
    <w:p w14:paraId="7D066621" w14:textId="77777777" w:rsidR="00A52C4D" w:rsidRDefault="00A5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CBA08" w14:textId="77777777" w:rsidR="00625B46" w:rsidRDefault="00625B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C013A45" w:rsidR="00ED7968" w:rsidRPr="00934A2C" w:rsidRDefault="00ED796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25B46">
          <w:rPr>
            <w:noProof/>
            <w:sz w:val="16"/>
            <w:szCs w:val="22"/>
          </w:rPr>
          <w:t>4</w:t>
        </w:r>
        <w:r w:rsidRPr="00934A2C">
          <w:rPr>
            <w:noProof/>
            <w:sz w:val="16"/>
            <w:szCs w:val="22"/>
          </w:rPr>
          <w:fldChar w:fldCharType="end"/>
        </w:r>
      </w:p>
    </w:sdtContent>
  </w:sdt>
  <w:p w14:paraId="68530E6A" w14:textId="77777777" w:rsidR="00ED7968" w:rsidRDefault="00ED79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ED7968" w:rsidRPr="00934A2C" w:rsidRDefault="00ED7968">
    <w:pPr>
      <w:pStyle w:val="Footer"/>
      <w:jc w:val="center"/>
      <w:rPr>
        <w:sz w:val="16"/>
        <w:szCs w:val="22"/>
      </w:rPr>
    </w:pPr>
  </w:p>
  <w:p w14:paraId="49059CE3" w14:textId="77777777" w:rsidR="00ED7968" w:rsidRDefault="00ED7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F21F3" w14:textId="77777777" w:rsidR="00A52C4D" w:rsidRPr="000F35ED" w:rsidRDefault="00A52C4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80C0FC5" w14:textId="77777777" w:rsidR="00A52C4D" w:rsidRPr="000F35ED" w:rsidRDefault="00A52C4D" w:rsidP="000F35ED">
      <w:pPr>
        <w:rPr>
          <w:rFonts w:asciiTheme="majorHAnsi" w:hAnsiTheme="majorHAnsi"/>
          <w:sz w:val="16"/>
          <w:szCs w:val="16"/>
        </w:rPr>
      </w:pPr>
      <w:r w:rsidRPr="000F35ED">
        <w:rPr>
          <w:rFonts w:asciiTheme="majorHAnsi" w:hAnsiTheme="majorHAnsi"/>
          <w:sz w:val="16"/>
          <w:szCs w:val="16"/>
        </w:rPr>
        <w:separator/>
      </w:r>
    </w:p>
    <w:p w14:paraId="61C5CB49" w14:textId="77777777" w:rsidR="00A52C4D" w:rsidRPr="000F35ED" w:rsidRDefault="00A52C4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DF43CEB" w14:textId="77777777" w:rsidR="00A52C4D" w:rsidRPr="000F35ED" w:rsidRDefault="00A52C4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CC1DB2A" w14:textId="77777777" w:rsidR="00ED7968" w:rsidRPr="00E54B56" w:rsidRDefault="00ED7968" w:rsidP="00E54B56">
      <w:pPr>
        <w:pStyle w:val="FootnoteText"/>
        <w:jc w:val="both"/>
        <w:rPr>
          <w:rFonts w:ascii="Cambria" w:hAnsi="Cambria"/>
          <w:color w:val="auto"/>
          <w:sz w:val="16"/>
          <w:szCs w:val="16"/>
          <w:lang w:val="es-ES"/>
        </w:rPr>
      </w:pPr>
      <w:r w:rsidRPr="00E54B56">
        <w:rPr>
          <w:rStyle w:val="FootnoteReference"/>
          <w:rFonts w:ascii="Cambria" w:hAnsi="Cambria"/>
          <w:color w:val="auto"/>
          <w:sz w:val="16"/>
          <w:szCs w:val="16"/>
        </w:rPr>
        <w:footnoteRef/>
      </w:r>
      <w:r w:rsidRPr="00E54B56">
        <w:rPr>
          <w:rFonts w:ascii="Cambria" w:hAnsi="Cambria"/>
          <w:color w:val="auto"/>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14:paraId="215EEB52" w14:textId="3D2F5FA7" w:rsidR="00ED7968" w:rsidRPr="00E54B56" w:rsidRDefault="00ED7968" w:rsidP="00E54B56">
      <w:pPr>
        <w:pStyle w:val="FootnoteText"/>
        <w:jc w:val="both"/>
        <w:rPr>
          <w:rFonts w:ascii="Cambria" w:hAnsi="Cambria"/>
          <w:sz w:val="16"/>
          <w:szCs w:val="16"/>
          <w:lang w:val="es-ES"/>
        </w:rPr>
      </w:pPr>
      <w:r w:rsidRPr="00E54B56">
        <w:rPr>
          <w:rStyle w:val="FootnoteReference"/>
          <w:rFonts w:ascii="Cambria" w:hAnsi="Cambria"/>
          <w:sz w:val="16"/>
          <w:szCs w:val="16"/>
        </w:rPr>
        <w:footnoteRef/>
      </w:r>
      <w:r w:rsidRPr="00E54B56">
        <w:rPr>
          <w:rFonts w:ascii="Cambria" w:hAnsi="Cambria"/>
          <w:sz w:val="16"/>
          <w:szCs w:val="16"/>
          <w:lang w:val="es-ES"/>
        </w:rPr>
        <w:t xml:space="preserve"> En adelante “la Convención Americana” o “la Convención”.</w:t>
      </w:r>
    </w:p>
  </w:footnote>
  <w:footnote w:id="4">
    <w:p w14:paraId="79F07139" w14:textId="77777777" w:rsidR="00ED7968" w:rsidRPr="00E54B56" w:rsidRDefault="00ED7968" w:rsidP="00E54B56">
      <w:pPr>
        <w:pStyle w:val="FootnoteText"/>
        <w:jc w:val="both"/>
        <w:rPr>
          <w:rFonts w:ascii="Cambria" w:hAnsi="Cambria"/>
          <w:sz w:val="16"/>
          <w:szCs w:val="16"/>
          <w:lang w:val="es-ES"/>
        </w:rPr>
      </w:pPr>
      <w:r w:rsidRPr="00E54B56">
        <w:rPr>
          <w:rStyle w:val="FootnoteReference"/>
          <w:rFonts w:ascii="Cambria" w:hAnsi="Cambria"/>
          <w:sz w:val="16"/>
          <w:szCs w:val="16"/>
        </w:rPr>
        <w:footnoteRef/>
      </w:r>
      <w:r w:rsidRPr="00E54B56">
        <w:rPr>
          <w:rFonts w:ascii="Cambria" w:hAnsi="Cambria"/>
          <w:sz w:val="16"/>
          <w:szCs w:val="16"/>
          <w:lang w:val="es-ES"/>
        </w:rPr>
        <w:t xml:space="preserve"> Las observaciones de cada parte fueron debidamente trasladadas a la parte contraria.</w:t>
      </w:r>
    </w:p>
  </w:footnote>
  <w:footnote w:id="5">
    <w:p w14:paraId="2B4C0A52" w14:textId="76CF4A5C" w:rsidR="00ED7968" w:rsidRPr="00E54B56" w:rsidRDefault="00ED7968" w:rsidP="00E54B56">
      <w:pPr>
        <w:pStyle w:val="FootnoteText"/>
        <w:jc w:val="both"/>
        <w:rPr>
          <w:rFonts w:ascii="Cambria" w:hAnsi="Cambria"/>
          <w:sz w:val="16"/>
          <w:szCs w:val="16"/>
          <w:lang w:val="es-AR"/>
        </w:rPr>
      </w:pPr>
      <w:r w:rsidRPr="00E54B56">
        <w:rPr>
          <w:rStyle w:val="FootnoteReference"/>
          <w:rFonts w:ascii="Cambria" w:hAnsi="Cambria"/>
          <w:sz w:val="16"/>
          <w:szCs w:val="16"/>
        </w:rPr>
        <w:footnoteRef/>
      </w:r>
      <w:r w:rsidRPr="00E54B56">
        <w:rPr>
          <w:rFonts w:ascii="Cambria" w:hAnsi="Cambria"/>
          <w:sz w:val="16"/>
          <w:szCs w:val="16"/>
          <w:lang w:val="es-AR"/>
        </w:rPr>
        <w:t xml:space="preserve"> </w:t>
      </w:r>
      <w:r w:rsidRPr="00E54B56">
        <w:rPr>
          <w:rFonts w:ascii="Cambria" w:hAnsi="Cambria"/>
          <w:sz w:val="16"/>
          <w:szCs w:val="16"/>
          <w:lang w:val="es-ES"/>
        </w:rPr>
        <w:t>En adelante “Convención de Belém do Pará”.</w:t>
      </w:r>
    </w:p>
  </w:footnote>
  <w:footnote w:id="6">
    <w:p w14:paraId="1997542D" w14:textId="3357B29A" w:rsidR="00ED7968" w:rsidRPr="00E54B56" w:rsidRDefault="00ED7968" w:rsidP="00E54B56">
      <w:pPr>
        <w:pStyle w:val="FootnoteText"/>
        <w:jc w:val="both"/>
        <w:rPr>
          <w:rFonts w:ascii="Cambria" w:hAnsi="Cambria"/>
          <w:color w:val="FF0000"/>
          <w:sz w:val="16"/>
          <w:szCs w:val="16"/>
          <w:lang w:val="es-AR"/>
        </w:rPr>
      </w:pPr>
      <w:r w:rsidRPr="00F52EAA">
        <w:rPr>
          <w:rStyle w:val="FootnoteReference"/>
          <w:rFonts w:ascii="Cambria" w:hAnsi="Cambria"/>
          <w:color w:val="auto"/>
          <w:sz w:val="16"/>
          <w:szCs w:val="16"/>
        </w:rPr>
        <w:footnoteRef/>
      </w:r>
      <w:r w:rsidRPr="00F52EAA">
        <w:rPr>
          <w:rFonts w:ascii="Cambria" w:hAnsi="Cambria"/>
          <w:color w:val="auto"/>
          <w:sz w:val="16"/>
          <w:szCs w:val="16"/>
          <w:lang w:val="es-AR"/>
        </w:rPr>
        <w:t xml:space="preserve"> </w:t>
      </w:r>
      <w:r w:rsidRPr="00F52EAA">
        <w:rPr>
          <w:rFonts w:ascii="Cambria" w:hAnsi="Cambria"/>
          <w:color w:val="auto"/>
          <w:sz w:val="16"/>
          <w:szCs w:val="16"/>
          <w:lang w:val="es-UY"/>
        </w:rPr>
        <w:t>La CIDH se abstiene de publicar la identidad de la supuesta víctima en virtud del hecho de que G.V.L.B era menor de edad cuando las violaciones supuestamente habrían tenido lugar.</w:t>
      </w:r>
    </w:p>
  </w:footnote>
  <w:footnote w:id="7">
    <w:p w14:paraId="72845970" w14:textId="2A4FAFDF" w:rsidR="00ED7968" w:rsidRPr="00E54B56" w:rsidRDefault="00ED7968" w:rsidP="00E54B56">
      <w:pPr>
        <w:pStyle w:val="FootnoteText"/>
        <w:jc w:val="both"/>
        <w:rPr>
          <w:rFonts w:ascii="Cambria" w:hAnsi="Cambria"/>
          <w:sz w:val="16"/>
          <w:szCs w:val="16"/>
          <w:lang w:val="es-ES"/>
        </w:rPr>
      </w:pPr>
      <w:r w:rsidRPr="00E54B56">
        <w:rPr>
          <w:rStyle w:val="FootnoteReference"/>
          <w:rFonts w:ascii="Cambria" w:hAnsi="Cambria"/>
          <w:sz w:val="16"/>
          <w:szCs w:val="16"/>
        </w:rPr>
        <w:footnoteRef/>
      </w:r>
      <w:r w:rsidRPr="00E54B56">
        <w:rPr>
          <w:rFonts w:ascii="Cambria" w:hAnsi="Cambria"/>
          <w:sz w:val="16"/>
          <w:szCs w:val="16"/>
          <w:lang w:val="es-ES"/>
        </w:rPr>
        <w:t xml:space="preserve"> CIDH, Informe No. 16/18, Petición 884-07. Admisibilidad. Victoria Piedad Palacios Tejada de Saavedra. Perú. 24 de febrero de 2018, párr. 12.</w:t>
      </w:r>
    </w:p>
  </w:footnote>
  <w:footnote w:id="8">
    <w:p w14:paraId="7D4DBD65" w14:textId="77777777" w:rsidR="00ED7968" w:rsidRPr="00E54B56" w:rsidRDefault="00ED7968" w:rsidP="00E54B56">
      <w:pPr>
        <w:pStyle w:val="FootnoteText"/>
        <w:jc w:val="both"/>
        <w:rPr>
          <w:rFonts w:ascii="Cambria" w:hAnsi="Cambria"/>
          <w:sz w:val="16"/>
          <w:szCs w:val="16"/>
          <w:lang w:val="es-AR"/>
        </w:rPr>
      </w:pPr>
      <w:r w:rsidRPr="00E54B56">
        <w:rPr>
          <w:rStyle w:val="FootnoteReference"/>
          <w:rFonts w:ascii="Cambria" w:hAnsi="Cambria"/>
          <w:sz w:val="16"/>
          <w:szCs w:val="16"/>
        </w:rPr>
        <w:footnoteRef/>
      </w:r>
      <w:r w:rsidRPr="00E54B56">
        <w:rPr>
          <w:rFonts w:ascii="Cambria" w:hAnsi="Cambria"/>
          <w:sz w:val="16"/>
          <w:szCs w:val="16"/>
          <w:lang w:val="es-AR"/>
        </w:rPr>
        <w:t xml:space="preserve"> CIDH. Informe No. 99/09, Petición 12.335, Gustavo Giraldo Villamizar Durán, Colombia, 29 de octubre de 2009, párr. 33; CIDH. Informe No. 74/16, Petición 568-06, H.O.V.T y otros, Guatemala, 6 de diciembre de 2016, párr. 39</w:t>
      </w:r>
    </w:p>
  </w:footnote>
  <w:footnote w:id="9">
    <w:p w14:paraId="1E168696" w14:textId="61C39C6F" w:rsidR="004F0547" w:rsidRPr="00E54B56" w:rsidRDefault="004F0547" w:rsidP="00E54B56">
      <w:pPr>
        <w:pStyle w:val="FootnoteText"/>
        <w:jc w:val="both"/>
        <w:rPr>
          <w:rFonts w:ascii="Cambria" w:hAnsi="Cambria"/>
          <w:sz w:val="16"/>
          <w:szCs w:val="16"/>
          <w:lang w:val="es-AR"/>
        </w:rPr>
      </w:pPr>
      <w:r w:rsidRPr="00E54B56">
        <w:rPr>
          <w:rStyle w:val="FootnoteReference"/>
          <w:rFonts w:ascii="Cambria" w:hAnsi="Cambria"/>
          <w:color w:val="auto"/>
          <w:sz w:val="16"/>
          <w:szCs w:val="16"/>
        </w:rPr>
        <w:footnoteRef/>
      </w:r>
      <w:r w:rsidRPr="00E54B56">
        <w:rPr>
          <w:rFonts w:ascii="Cambria" w:hAnsi="Cambria"/>
          <w:color w:val="auto"/>
          <w:sz w:val="16"/>
          <w:szCs w:val="16"/>
          <w:lang w:val="es-AR"/>
        </w:rPr>
        <w:t xml:space="preserve"> Artículo 19.2 Convención sobre los Derechos del Ni</w:t>
      </w:r>
      <w:r w:rsidRPr="00E54B56">
        <w:rPr>
          <w:rFonts w:ascii="Cambria" w:hAnsi="Cambria"/>
          <w:color w:val="auto"/>
          <w:sz w:val="16"/>
          <w:szCs w:val="16"/>
          <w:lang w:val="es-ES"/>
        </w:rPr>
        <w:t>ñ</w:t>
      </w:r>
      <w:r w:rsidRPr="00E54B56">
        <w:rPr>
          <w:rFonts w:ascii="Cambria" w:hAnsi="Cambria"/>
          <w:color w:val="auto"/>
          <w:sz w:val="16"/>
          <w:szCs w:val="16"/>
          <w:lang w:val="es-AR"/>
        </w:rPr>
        <w:t>o; Corte IDH. Condición Jurídica y Derechos Humanos del Niño. Opinión Consultiva OC-17/02 de 28 de agosto de 2002, Serie A No. 17, párr. 101, 102</w:t>
      </w:r>
    </w:p>
  </w:footnote>
  <w:footnote w:id="10">
    <w:p w14:paraId="4238F786" w14:textId="77777777" w:rsidR="00ED7968" w:rsidRPr="00E54B56" w:rsidRDefault="00ED7968" w:rsidP="00E54B56">
      <w:pPr>
        <w:pStyle w:val="FootnoteText"/>
        <w:jc w:val="both"/>
        <w:rPr>
          <w:rFonts w:ascii="Cambria" w:hAnsi="Cambria"/>
          <w:sz w:val="16"/>
          <w:szCs w:val="16"/>
          <w:lang w:val="es-AR"/>
        </w:rPr>
      </w:pPr>
      <w:r w:rsidRPr="00E54B56">
        <w:rPr>
          <w:rStyle w:val="FootnoteReference"/>
          <w:rFonts w:ascii="Cambria" w:hAnsi="Cambria"/>
          <w:sz w:val="16"/>
          <w:szCs w:val="16"/>
        </w:rPr>
        <w:footnoteRef/>
      </w:r>
      <w:r w:rsidRPr="00E54B56">
        <w:rPr>
          <w:rFonts w:ascii="Cambria" w:hAnsi="Cambria"/>
          <w:sz w:val="16"/>
          <w:szCs w:val="16"/>
          <w:lang w:val="es-AR"/>
        </w:rPr>
        <w:t xml:space="preserve"> Artículo 9, Convención de Belém do Pará; CIDH. Informe No. 3/09, Petición 4.408-02, V.R.P y V.P.C, Nicaragua, 11 de febrero de 2009, párr. 43</w:t>
      </w:r>
    </w:p>
  </w:footnote>
  <w:footnote w:id="11">
    <w:p w14:paraId="2A67D75C" w14:textId="77777777" w:rsidR="00ED7968" w:rsidRPr="00E54B56" w:rsidRDefault="00ED7968" w:rsidP="00E54B56">
      <w:pPr>
        <w:pStyle w:val="FootnoteText"/>
        <w:jc w:val="both"/>
        <w:rPr>
          <w:rFonts w:ascii="Cambria" w:hAnsi="Cambria"/>
          <w:sz w:val="16"/>
          <w:szCs w:val="16"/>
          <w:lang w:val="es-AR"/>
        </w:rPr>
      </w:pPr>
      <w:r w:rsidRPr="00E54B56">
        <w:rPr>
          <w:rStyle w:val="FootnoteReference"/>
          <w:rFonts w:ascii="Cambria" w:hAnsi="Cambria"/>
          <w:sz w:val="16"/>
          <w:szCs w:val="16"/>
        </w:rPr>
        <w:footnoteRef/>
      </w:r>
      <w:r w:rsidRPr="00E54B56">
        <w:rPr>
          <w:rFonts w:ascii="Cambria" w:hAnsi="Cambria"/>
          <w:sz w:val="16"/>
          <w:szCs w:val="16"/>
          <w:lang w:val="es-AR"/>
        </w:rPr>
        <w:t xml:space="preserve"> Artículo 3 del Código de Procedimientos Penales de Guanajuato</w:t>
      </w:r>
    </w:p>
  </w:footnote>
  <w:footnote w:id="12">
    <w:p w14:paraId="6CBDAE13" w14:textId="77777777" w:rsidR="00ED7968" w:rsidRPr="00E54B56" w:rsidRDefault="00ED7968" w:rsidP="00E54B56">
      <w:pPr>
        <w:pStyle w:val="FootnoteText"/>
        <w:jc w:val="both"/>
        <w:rPr>
          <w:rFonts w:ascii="Cambria" w:hAnsi="Cambria"/>
          <w:sz w:val="16"/>
          <w:szCs w:val="16"/>
          <w:lang w:val="es-AR"/>
        </w:rPr>
      </w:pPr>
      <w:r w:rsidRPr="00E54B56">
        <w:rPr>
          <w:rStyle w:val="FootnoteReference"/>
          <w:rFonts w:ascii="Cambria" w:hAnsi="Cambria"/>
          <w:sz w:val="16"/>
          <w:szCs w:val="16"/>
        </w:rPr>
        <w:footnoteRef/>
      </w:r>
      <w:r w:rsidRPr="00E54B56">
        <w:rPr>
          <w:rFonts w:ascii="Cambria" w:hAnsi="Cambria"/>
          <w:sz w:val="16"/>
          <w:szCs w:val="16"/>
          <w:lang w:val="es-AR"/>
        </w:rPr>
        <w:t xml:space="preserve"> Artículo 122, V, de la Ley General de los Derechos de Niñas, Niños y Adolescentes para las Procuradurías de Protección </w:t>
      </w:r>
    </w:p>
  </w:footnote>
  <w:footnote w:id="13">
    <w:p w14:paraId="56B7C7DF" w14:textId="77777777" w:rsidR="00A94B46" w:rsidRPr="00E54B56" w:rsidRDefault="00A94B46" w:rsidP="00E54B56">
      <w:pPr>
        <w:pStyle w:val="FootnoteText"/>
        <w:jc w:val="both"/>
        <w:rPr>
          <w:rFonts w:ascii="Cambria" w:hAnsi="Cambria"/>
          <w:b/>
          <w:sz w:val="16"/>
          <w:szCs w:val="16"/>
          <w:lang w:val="es-AR"/>
        </w:rPr>
      </w:pPr>
      <w:r w:rsidRPr="00E54B56">
        <w:rPr>
          <w:rStyle w:val="FootnoteReference"/>
          <w:rFonts w:ascii="Cambria" w:hAnsi="Cambria"/>
          <w:sz w:val="16"/>
          <w:szCs w:val="16"/>
        </w:rPr>
        <w:footnoteRef/>
      </w:r>
      <w:r w:rsidRPr="00E54B56">
        <w:rPr>
          <w:rFonts w:ascii="Cambria" w:hAnsi="Cambria"/>
          <w:sz w:val="16"/>
          <w:szCs w:val="16"/>
          <w:lang w:val="es-AR"/>
        </w:rPr>
        <w:t xml:space="preserve"> </w:t>
      </w:r>
      <w:r w:rsidRPr="00E54B56">
        <w:rPr>
          <w:rFonts w:ascii="Cambria" w:hAnsi="Cambria" w:cs="Arial"/>
          <w:sz w:val="16"/>
          <w:szCs w:val="16"/>
          <w:lang w:val="es-AR"/>
        </w:rPr>
        <w:t xml:space="preserve">Corte IDH. Caso V.R.P., V.P.C. y otros Vs. </w:t>
      </w:r>
      <w:r w:rsidRPr="00FD2779">
        <w:rPr>
          <w:rFonts w:ascii="Cambria" w:hAnsi="Cambria" w:cs="Arial"/>
          <w:sz w:val="16"/>
          <w:szCs w:val="16"/>
          <w:lang w:val="es-419"/>
        </w:rPr>
        <w:t xml:space="preserve">Nicaragua. </w:t>
      </w:r>
      <w:r w:rsidRPr="00E54B56">
        <w:rPr>
          <w:rFonts w:ascii="Cambria" w:hAnsi="Cambria" w:cs="Arial"/>
          <w:sz w:val="16"/>
          <w:szCs w:val="16"/>
          <w:lang w:val="es-AR"/>
        </w:rPr>
        <w:t xml:space="preserve">Excepciones Preliminares, Fondo, Reparaciones y Costas. </w:t>
      </w:r>
      <w:r w:rsidRPr="00126F40">
        <w:rPr>
          <w:rFonts w:ascii="Cambria" w:hAnsi="Cambria" w:cs="Arial"/>
          <w:sz w:val="16"/>
          <w:szCs w:val="16"/>
          <w:lang w:val="es-AR"/>
        </w:rPr>
        <w:t>Sentencia de 8 de marzo de 2018. Serie C No. 350., Párrafo 313</w:t>
      </w:r>
      <w:r w:rsidRPr="00126F40">
        <w:rPr>
          <w:rFonts w:ascii="Cambria" w:hAnsi="Cambria"/>
          <w:sz w:val="16"/>
          <w:szCs w:val="16"/>
          <w:lang w:val="es-AR"/>
        </w:rPr>
        <w:t>;</w:t>
      </w:r>
      <w:r w:rsidRPr="00126F40">
        <w:rPr>
          <w:rFonts w:ascii="Cambria" w:hAnsi="Cambria"/>
          <w:b/>
          <w:sz w:val="16"/>
          <w:szCs w:val="16"/>
          <w:lang w:val="es-AR"/>
        </w:rPr>
        <w:t xml:space="preserve"> </w:t>
      </w:r>
      <w:r w:rsidRPr="00126F40">
        <w:rPr>
          <w:rStyle w:val="Strong"/>
          <w:rFonts w:ascii="Cambria" w:hAnsi="Cambria"/>
          <w:b w:val="0"/>
          <w:sz w:val="16"/>
          <w:szCs w:val="16"/>
          <w:shd w:val="clear" w:color="auto" w:fill="FFFFFF"/>
          <w:lang w:val="es-AR"/>
        </w:rPr>
        <w:t xml:space="preserve">Corte IDH. </w:t>
      </w:r>
      <w:r w:rsidRPr="006B64F6">
        <w:rPr>
          <w:rStyle w:val="Strong"/>
          <w:rFonts w:ascii="Cambria" w:hAnsi="Cambria"/>
          <w:b w:val="0"/>
          <w:sz w:val="16"/>
          <w:szCs w:val="16"/>
          <w:shd w:val="clear" w:color="auto" w:fill="FFFFFF"/>
          <w:lang w:val="es-US"/>
        </w:rPr>
        <w:t xml:space="preserve">Caso del Penal Miguel Castro </w:t>
      </w:r>
      <w:proofErr w:type="spellStart"/>
      <w:r w:rsidRPr="006B64F6">
        <w:rPr>
          <w:rStyle w:val="Strong"/>
          <w:rFonts w:ascii="Cambria" w:hAnsi="Cambria"/>
          <w:b w:val="0"/>
          <w:sz w:val="16"/>
          <w:szCs w:val="16"/>
          <w:shd w:val="clear" w:color="auto" w:fill="FFFFFF"/>
          <w:lang w:val="es-US"/>
        </w:rPr>
        <w:t>Castro</w:t>
      </w:r>
      <w:proofErr w:type="spellEnd"/>
      <w:r w:rsidRPr="006B64F6">
        <w:rPr>
          <w:rStyle w:val="Strong"/>
          <w:rFonts w:ascii="Cambria" w:hAnsi="Cambria"/>
          <w:b w:val="0"/>
          <w:sz w:val="16"/>
          <w:szCs w:val="16"/>
          <w:shd w:val="clear" w:color="auto" w:fill="FFFFFF"/>
          <w:lang w:val="es-US"/>
        </w:rPr>
        <w:t xml:space="preserve"> Vs. Perú. </w:t>
      </w:r>
      <w:r w:rsidRPr="00E54B56">
        <w:rPr>
          <w:rStyle w:val="Strong"/>
          <w:rFonts w:ascii="Cambria" w:hAnsi="Cambria"/>
          <w:b w:val="0"/>
          <w:sz w:val="16"/>
          <w:szCs w:val="16"/>
          <w:shd w:val="clear" w:color="auto" w:fill="FFFFFF"/>
          <w:lang w:val="es-AR"/>
        </w:rPr>
        <w:t xml:space="preserve">Fondo, Reparaciones y Costas. Sentencia de 25 de noviembre de 2006. Serie C No. 160, párr. 306; </w:t>
      </w:r>
      <w:r w:rsidRPr="00E54B56">
        <w:rPr>
          <w:rFonts w:ascii="Cambria" w:hAnsi="Cambria"/>
          <w:sz w:val="16"/>
          <w:szCs w:val="16"/>
          <w:lang w:val="es-AR"/>
        </w:rPr>
        <w:t xml:space="preserve">Naciones Unidas. Comité para la Eliminación de la Discriminación contra la Mujer Recomendación general </w:t>
      </w:r>
      <w:proofErr w:type="spellStart"/>
      <w:r w:rsidRPr="00E54B56">
        <w:rPr>
          <w:rFonts w:ascii="Cambria" w:hAnsi="Cambria"/>
          <w:sz w:val="16"/>
          <w:szCs w:val="16"/>
          <w:lang w:val="es-AR"/>
        </w:rPr>
        <w:t>num</w:t>
      </w:r>
      <w:proofErr w:type="spellEnd"/>
      <w:r w:rsidRPr="00E54B56">
        <w:rPr>
          <w:rFonts w:ascii="Cambria" w:hAnsi="Cambria"/>
          <w:sz w:val="16"/>
          <w:szCs w:val="16"/>
          <w:lang w:val="es-AR"/>
        </w:rPr>
        <w:t xml:space="preserve">. 35 sobre la violencia por razón de género contra la mujer, por la que se actualiza la recomendación general </w:t>
      </w:r>
      <w:proofErr w:type="spellStart"/>
      <w:r w:rsidRPr="00E54B56">
        <w:rPr>
          <w:rFonts w:ascii="Cambria" w:hAnsi="Cambria"/>
          <w:sz w:val="16"/>
          <w:szCs w:val="16"/>
          <w:lang w:val="es-AR"/>
        </w:rPr>
        <w:t>num</w:t>
      </w:r>
      <w:proofErr w:type="spellEnd"/>
      <w:r w:rsidRPr="00E54B56">
        <w:rPr>
          <w:rFonts w:ascii="Cambria" w:hAnsi="Cambria"/>
          <w:sz w:val="16"/>
          <w:szCs w:val="16"/>
          <w:lang w:val="es-AR"/>
        </w:rPr>
        <w:t>. 19. CEDAW/C/GC/35 / 26 de julio de 2017, párr</w:t>
      </w:r>
      <w:proofErr w:type="gramStart"/>
      <w:r w:rsidRPr="00E54B56">
        <w:rPr>
          <w:rFonts w:ascii="Cambria" w:hAnsi="Cambria"/>
          <w:sz w:val="16"/>
          <w:szCs w:val="16"/>
          <w:lang w:val="es-AR"/>
        </w:rPr>
        <w:t>..</w:t>
      </w:r>
      <w:proofErr w:type="gramEnd"/>
      <w:r w:rsidRPr="00E54B56">
        <w:rPr>
          <w:rFonts w:ascii="Cambria" w:hAnsi="Cambria"/>
          <w:sz w:val="16"/>
          <w:szCs w:val="16"/>
          <w:lang w:val="es-AR"/>
        </w:rPr>
        <w:t xml:space="preserve">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ED7968" w:rsidRDefault="00ED7968" w:rsidP="003F6FA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ED7968" w:rsidRDefault="00ED79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ED7968" w:rsidRDefault="00ED7968"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ED7968" w:rsidRPr="00EC7D62" w:rsidRDefault="00A52C4D" w:rsidP="00A50FCF">
    <w:pPr>
      <w:pStyle w:val="Header"/>
      <w:tabs>
        <w:tab w:val="clear" w:pos="4320"/>
        <w:tab w:val="clear" w:pos="8640"/>
      </w:tabs>
      <w:jc w:val="center"/>
      <w:rPr>
        <w:sz w:val="22"/>
        <w:szCs w:val="22"/>
      </w:rPr>
    </w:pPr>
    <w:r>
      <w:rPr>
        <w:noProof/>
        <w:sz w:val="22"/>
        <w:szCs w:val="22"/>
        <w:bdr w:val="nil"/>
      </w:rPr>
      <w:pict w14:anchorId="5439A95D">
        <v:rect id="_x0000_i1025" alt="" style="width:425.2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8D002" w14:textId="77777777" w:rsidR="00625B46" w:rsidRDefault="00625B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37E6ED1"/>
    <w:multiLevelType w:val="hybridMultilevel"/>
    <w:tmpl w:val="008E90F2"/>
    <w:lvl w:ilvl="0" w:tplc="2AAEE074">
      <w:start w:val="1"/>
      <w:numFmt w:val="decimal"/>
      <w:lvlText w:val="%1."/>
      <w:lvlJc w:val="left"/>
      <w:pPr>
        <w:tabs>
          <w:tab w:val="num" w:pos="1440"/>
        </w:tabs>
        <w:ind w:left="1440" w:hanging="360"/>
      </w:pPr>
      <w:rPr>
        <w:rFonts w:ascii="Calibri" w:hAnsi="Calibri" w:cs="Times New Roman" w:hint="default"/>
        <w:sz w:val="22"/>
        <w:szCs w:val="22"/>
      </w:rPr>
    </w:lvl>
    <w:lvl w:ilvl="1" w:tplc="04090019">
      <w:start w:val="1"/>
      <w:numFmt w:val="lowerLetter"/>
      <w:lvlText w:val="%2."/>
      <w:lvlJc w:val="left"/>
      <w:pPr>
        <w:tabs>
          <w:tab w:val="num" w:pos="2160"/>
        </w:tabs>
        <w:ind w:left="2160" w:hanging="360"/>
      </w:pPr>
      <w:rPr>
        <w:rFonts w:cs="Times New Roman"/>
      </w:rPr>
    </w:lvl>
    <w:lvl w:ilvl="2" w:tplc="6AFA744A">
      <w:start w:val="2"/>
      <w:numFmt w:val="upp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BF43273"/>
    <w:multiLevelType w:val="hybridMultilevel"/>
    <w:tmpl w:val="3B7A428C"/>
    <w:lvl w:ilvl="0" w:tplc="0416000F">
      <w:start w:val="3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FA87254"/>
    <w:multiLevelType w:val="hybridMultilevel"/>
    <w:tmpl w:val="57D4C45E"/>
    <w:lvl w:ilvl="0" w:tplc="F580D572">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D01638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6"/>
  </w:num>
  <w:num w:numId="4">
    <w:abstractNumId w:val="23"/>
  </w:num>
  <w:num w:numId="5">
    <w:abstractNumId w:val="50"/>
  </w:num>
  <w:num w:numId="6">
    <w:abstractNumId w:val="28"/>
  </w:num>
  <w:num w:numId="7">
    <w:abstractNumId w:val="8"/>
  </w:num>
  <w:num w:numId="8">
    <w:abstractNumId w:val="18"/>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8"/>
  </w:num>
  <w:num w:numId="42">
    <w:abstractNumId w:val="51"/>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1"/>
  </w:num>
  <w:num w:numId="50">
    <w:abstractNumId w:val="63"/>
  </w:num>
  <w:num w:numId="51">
    <w:abstractNumId w:val="22"/>
  </w:num>
  <w:num w:numId="52">
    <w:abstractNumId w:val="42"/>
  </w:num>
  <w:num w:numId="53">
    <w:abstractNumId w:val="53"/>
  </w:num>
  <w:num w:numId="54">
    <w:abstractNumId w:val="46"/>
  </w:num>
  <w:num w:numId="55">
    <w:abstractNumId w:val="5"/>
  </w:num>
  <w:num w:numId="56">
    <w:abstractNumId w:val="44"/>
  </w:num>
  <w:num w:numId="57">
    <w:abstractNumId w:val="62"/>
  </w:num>
  <w:num w:numId="58">
    <w:abstractNumId w:val="21"/>
  </w:num>
  <w:num w:numId="59">
    <w:abstractNumId w:val="3"/>
  </w:num>
  <w:num w:numId="60">
    <w:abstractNumId w:val="49"/>
  </w:num>
  <w:num w:numId="61">
    <w:abstractNumId w:val="47"/>
  </w:num>
  <w:num w:numId="62">
    <w:abstractNumId w:val="60"/>
  </w:num>
  <w:num w:numId="63">
    <w:abstractNumId w:val="7"/>
  </w:num>
  <w:num w:numId="64">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190D"/>
    <w:rsid w:val="000065D0"/>
    <w:rsid w:val="00006B74"/>
    <w:rsid w:val="00006E1F"/>
    <w:rsid w:val="000070D7"/>
    <w:rsid w:val="000104F5"/>
    <w:rsid w:val="00015701"/>
    <w:rsid w:val="0001788C"/>
    <w:rsid w:val="0002186F"/>
    <w:rsid w:val="000337EF"/>
    <w:rsid w:val="00040C3A"/>
    <w:rsid w:val="000419AD"/>
    <w:rsid w:val="00055923"/>
    <w:rsid w:val="00061D5A"/>
    <w:rsid w:val="000716C5"/>
    <w:rsid w:val="00075E23"/>
    <w:rsid w:val="0009006E"/>
    <w:rsid w:val="0009344A"/>
    <w:rsid w:val="000A19F8"/>
    <w:rsid w:val="000A3254"/>
    <w:rsid w:val="000A392E"/>
    <w:rsid w:val="000A4252"/>
    <w:rsid w:val="000A575F"/>
    <w:rsid w:val="000A63D0"/>
    <w:rsid w:val="000B0579"/>
    <w:rsid w:val="000B68E1"/>
    <w:rsid w:val="000C1C69"/>
    <w:rsid w:val="000C3A31"/>
    <w:rsid w:val="000D10DB"/>
    <w:rsid w:val="000D2220"/>
    <w:rsid w:val="000D6CB5"/>
    <w:rsid w:val="000E2789"/>
    <w:rsid w:val="000E5EB5"/>
    <w:rsid w:val="000F0497"/>
    <w:rsid w:val="000F35ED"/>
    <w:rsid w:val="000F6BCE"/>
    <w:rsid w:val="00103938"/>
    <w:rsid w:val="0010467E"/>
    <w:rsid w:val="00107131"/>
    <w:rsid w:val="0010736F"/>
    <w:rsid w:val="00111A8A"/>
    <w:rsid w:val="00113F73"/>
    <w:rsid w:val="00121CC2"/>
    <w:rsid w:val="00126F40"/>
    <w:rsid w:val="00131D8B"/>
    <w:rsid w:val="001325DA"/>
    <w:rsid w:val="00133EE5"/>
    <w:rsid w:val="00136E3D"/>
    <w:rsid w:val="00143927"/>
    <w:rsid w:val="00143EFE"/>
    <w:rsid w:val="001479C0"/>
    <w:rsid w:val="0015330B"/>
    <w:rsid w:val="00167A34"/>
    <w:rsid w:val="00170492"/>
    <w:rsid w:val="00176BB3"/>
    <w:rsid w:val="00177EEF"/>
    <w:rsid w:val="0018097F"/>
    <w:rsid w:val="001A7870"/>
    <w:rsid w:val="001B3A00"/>
    <w:rsid w:val="001B4C00"/>
    <w:rsid w:val="001B791B"/>
    <w:rsid w:val="001C1140"/>
    <w:rsid w:val="001C1B41"/>
    <w:rsid w:val="001D31EE"/>
    <w:rsid w:val="001D65EF"/>
    <w:rsid w:val="001E0CC8"/>
    <w:rsid w:val="001E26B2"/>
    <w:rsid w:val="001E49E7"/>
    <w:rsid w:val="001F175C"/>
    <w:rsid w:val="001F271B"/>
    <w:rsid w:val="001F3F75"/>
    <w:rsid w:val="001F5F53"/>
    <w:rsid w:val="001F7201"/>
    <w:rsid w:val="00204931"/>
    <w:rsid w:val="00223A29"/>
    <w:rsid w:val="002250A3"/>
    <w:rsid w:val="00225E0C"/>
    <w:rsid w:val="00231294"/>
    <w:rsid w:val="00235217"/>
    <w:rsid w:val="002355A9"/>
    <w:rsid w:val="002362DE"/>
    <w:rsid w:val="0024299D"/>
    <w:rsid w:val="00246D1F"/>
    <w:rsid w:val="00247403"/>
    <w:rsid w:val="00247542"/>
    <w:rsid w:val="00266B61"/>
    <w:rsid w:val="0026712A"/>
    <w:rsid w:val="002704DB"/>
    <w:rsid w:val="00274397"/>
    <w:rsid w:val="00277BDA"/>
    <w:rsid w:val="002915AD"/>
    <w:rsid w:val="0029575A"/>
    <w:rsid w:val="002A0AAE"/>
    <w:rsid w:val="002A5820"/>
    <w:rsid w:val="002B4C96"/>
    <w:rsid w:val="002B690F"/>
    <w:rsid w:val="002C3350"/>
    <w:rsid w:val="002D2B26"/>
    <w:rsid w:val="002D7EA2"/>
    <w:rsid w:val="002E187C"/>
    <w:rsid w:val="002E601F"/>
    <w:rsid w:val="002E7512"/>
    <w:rsid w:val="002F3724"/>
    <w:rsid w:val="00302733"/>
    <w:rsid w:val="003121D5"/>
    <w:rsid w:val="00314078"/>
    <w:rsid w:val="0031535D"/>
    <w:rsid w:val="003239B8"/>
    <w:rsid w:val="0033169F"/>
    <w:rsid w:val="0034224A"/>
    <w:rsid w:val="00343438"/>
    <w:rsid w:val="00344977"/>
    <w:rsid w:val="00346413"/>
    <w:rsid w:val="00346C95"/>
    <w:rsid w:val="00351155"/>
    <w:rsid w:val="00356185"/>
    <w:rsid w:val="00360380"/>
    <w:rsid w:val="0037519E"/>
    <w:rsid w:val="00386C6C"/>
    <w:rsid w:val="00386CF0"/>
    <w:rsid w:val="003942EC"/>
    <w:rsid w:val="003A6337"/>
    <w:rsid w:val="003B4FF6"/>
    <w:rsid w:val="003B70FB"/>
    <w:rsid w:val="003C551F"/>
    <w:rsid w:val="003C6112"/>
    <w:rsid w:val="003C676B"/>
    <w:rsid w:val="003D0A55"/>
    <w:rsid w:val="003D3BC2"/>
    <w:rsid w:val="003E257B"/>
    <w:rsid w:val="003E614F"/>
    <w:rsid w:val="003E6CA1"/>
    <w:rsid w:val="003E6FE1"/>
    <w:rsid w:val="003F13F4"/>
    <w:rsid w:val="003F6FA1"/>
    <w:rsid w:val="004065A8"/>
    <w:rsid w:val="004153F5"/>
    <w:rsid w:val="004165C2"/>
    <w:rsid w:val="00425C89"/>
    <w:rsid w:val="004304AD"/>
    <w:rsid w:val="00434007"/>
    <w:rsid w:val="00441ECB"/>
    <w:rsid w:val="00445193"/>
    <w:rsid w:val="00447CCF"/>
    <w:rsid w:val="004565BA"/>
    <w:rsid w:val="00462C1B"/>
    <w:rsid w:val="00467B7E"/>
    <w:rsid w:val="0047080D"/>
    <w:rsid w:val="00473BB4"/>
    <w:rsid w:val="00474EF8"/>
    <w:rsid w:val="00476211"/>
    <w:rsid w:val="00477592"/>
    <w:rsid w:val="00486F1C"/>
    <w:rsid w:val="0049419D"/>
    <w:rsid w:val="004A59CC"/>
    <w:rsid w:val="004A6A54"/>
    <w:rsid w:val="004B0BE1"/>
    <w:rsid w:val="004B162F"/>
    <w:rsid w:val="004C20D2"/>
    <w:rsid w:val="004C2312"/>
    <w:rsid w:val="004C4B62"/>
    <w:rsid w:val="004C54C9"/>
    <w:rsid w:val="004C616A"/>
    <w:rsid w:val="004D4ABA"/>
    <w:rsid w:val="004D6025"/>
    <w:rsid w:val="004E19B1"/>
    <w:rsid w:val="004E2649"/>
    <w:rsid w:val="004E7FCF"/>
    <w:rsid w:val="004F0547"/>
    <w:rsid w:val="004F3AD3"/>
    <w:rsid w:val="00501399"/>
    <w:rsid w:val="00501652"/>
    <w:rsid w:val="005021E1"/>
    <w:rsid w:val="0050633D"/>
    <w:rsid w:val="00507BC4"/>
    <w:rsid w:val="005128E4"/>
    <w:rsid w:val="005133DB"/>
    <w:rsid w:val="0051489B"/>
    <w:rsid w:val="0052508D"/>
    <w:rsid w:val="00525560"/>
    <w:rsid w:val="00536ABF"/>
    <w:rsid w:val="005415E6"/>
    <w:rsid w:val="00544216"/>
    <w:rsid w:val="00544C49"/>
    <w:rsid w:val="005516A1"/>
    <w:rsid w:val="00563557"/>
    <w:rsid w:val="00566014"/>
    <w:rsid w:val="0057402A"/>
    <w:rsid w:val="00574CB7"/>
    <w:rsid w:val="005771D0"/>
    <w:rsid w:val="0059191A"/>
    <w:rsid w:val="005921FF"/>
    <w:rsid w:val="00594707"/>
    <w:rsid w:val="005969EB"/>
    <w:rsid w:val="005A24ED"/>
    <w:rsid w:val="005A6D0E"/>
    <w:rsid w:val="005B37CC"/>
    <w:rsid w:val="005B52B0"/>
    <w:rsid w:val="005B6806"/>
    <w:rsid w:val="005B6D22"/>
    <w:rsid w:val="005C261A"/>
    <w:rsid w:val="005C4225"/>
    <w:rsid w:val="005C5A66"/>
    <w:rsid w:val="005C7989"/>
    <w:rsid w:val="005D66AD"/>
    <w:rsid w:val="005E0B65"/>
    <w:rsid w:val="005E11B2"/>
    <w:rsid w:val="005E3864"/>
    <w:rsid w:val="005F0DAD"/>
    <w:rsid w:val="005F0F33"/>
    <w:rsid w:val="005F2458"/>
    <w:rsid w:val="00600DEB"/>
    <w:rsid w:val="006068B7"/>
    <w:rsid w:val="00625B46"/>
    <w:rsid w:val="006277DE"/>
    <w:rsid w:val="00627C9F"/>
    <w:rsid w:val="006311E9"/>
    <w:rsid w:val="00632354"/>
    <w:rsid w:val="0063258E"/>
    <w:rsid w:val="00641413"/>
    <w:rsid w:val="00641644"/>
    <w:rsid w:val="00642810"/>
    <w:rsid w:val="00647756"/>
    <w:rsid w:val="006509DA"/>
    <w:rsid w:val="00652333"/>
    <w:rsid w:val="006775AB"/>
    <w:rsid w:val="0068009E"/>
    <w:rsid w:val="006819E9"/>
    <w:rsid w:val="00686471"/>
    <w:rsid w:val="0068794B"/>
    <w:rsid w:val="00691BBE"/>
    <w:rsid w:val="00692219"/>
    <w:rsid w:val="0069402E"/>
    <w:rsid w:val="006A17D2"/>
    <w:rsid w:val="006A3BA6"/>
    <w:rsid w:val="006A73E6"/>
    <w:rsid w:val="006B0ECA"/>
    <w:rsid w:val="006B1142"/>
    <w:rsid w:val="006B2D5C"/>
    <w:rsid w:val="006B2EE8"/>
    <w:rsid w:val="006B64F6"/>
    <w:rsid w:val="006B7BC3"/>
    <w:rsid w:val="006C233A"/>
    <w:rsid w:val="006C4BAB"/>
    <w:rsid w:val="006C4EB1"/>
    <w:rsid w:val="006E0166"/>
    <w:rsid w:val="006E772A"/>
    <w:rsid w:val="006E7B34"/>
    <w:rsid w:val="00703288"/>
    <w:rsid w:val="0070697F"/>
    <w:rsid w:val="00711299"/>
    <w:rsid w:val="0072199C"/>
    <w:rsid w:val="00722C9F"/>
    <w:rsid w:val="007253B8"/>
    <w:rsid w:val="00727B0E"/>
    <w:rsid w:val="0073313D"/>
    <w:rsid w:val="0073598C"/>
    <w:rsid w:val="0073741F"/>
    <w:rsid w:val="00744644"/>
    <w:rsid w:val="00760823"/>
    <w:rsid w:val="0076643F"/>
    <w:rsid w:val="00777F63"/>
    <w:rsid w:val="007852B5"/>
    <w:rsid w:val="00796A37"/>
    <w:rsid w:val="007A5817"/>
    <w:rsid w:val="007B05C4"/>
    <w:rsid w:val="007B1129"/>
    <w:rsid w:val="007B60E9"/>
    <w:rsid w:val="007B6CC3"/>
    <w:rsid w:val="007C3334"/>
    <w:rsid w:val="007C402A"/>
    <w:rsid w:val="007D2B98"/>
    <w:rsid w:val="007D79DF"/>
    <w:rsid w:val="007D7C02"/>
    <w:rsid w:val="007E21BC"/>
    <w:rsid w:val="007E58FE"/>
    <w:rsid w:val="007E7C82"/>
    <w:rsid w:val="007F588D"/>
    <w:rsid w:val="00802748"/>
    <w:rsid w:val="00803F1C"/>
    <w:rsid w:val="0080600E"/>
    <w:rsid w:val="00817612"/>
    <w:rsid w:val="008338A4"/>
    <w:rsid w:val="00834D49"/>
    <w:rsid w:val="00837C45"/>
    <w:rsid w:val="008411F0"/>
    <w:rsid w:val="008439BC"/>
    <w:rsid w:val="00844730"/>
    <w:rsid w:val="008457C2"/>
    <w:rsid w:val="0084682B"/>
    <w:rsid w:val="00850D4D"/>
    <w:rsid w:val="00857A82"/>
    <w:rsid w:val="00871526"/>
    <w:rsid w:val="00873836"/>
    <w:rsid w:val="00875668"/>
    <w:rsid w:val="00885737"/>
    <w:rsid w:val="00890650"/>
    <w:rsid w:val="00896F65"/>
    <w:rsid w:val="00897E12"/>
    <w:rsid w:val="008A0F81"/>
    <w:rsid w:val="008A310C"/>
    <w:rsid w:val="008A7E0F"/>
    <w:rsid w:val="008B12F5"/>
    <w:rsid w:val="008B5932"/>
    <w:rsid w:val="008C5751"/>
    <w:rsid w:val="008D768D"/>
    <w:rsid w:val="008E0FD8"/>
    <w:rsid w:val="008E328A"/>
    <w:rsid w:val="008E3759"/>
    <w:rsid w:val="008E3BFE"/>
    <w:rsid w:val="008E7900"/>
    <w:rsid w:val="008F03FE"/>
    <w:rsid w:val="008F1912"/>
    <w:rsid w:val="0090270B"/>
    <w:rsid w:val="009041DC"/>
    <w:rsid w:val="00917B5A"/>
    <w:rsid w:val="00920A58"/>
    <w:rsid w:val="00920A8C"/>
    <w:rsid w:val="00934A2C"/>
    <w:rsid w:val="00935F06"/>
    <w:rsid w:val="00937B3A"/>
    <w:rsid w:val="00941D71"/>
    <w:rsid w:val="0095065D"/>
    <w:rsid w:val="00954B82"/>
    <w:rsid w:val="00957000"/>
    <w:rsid w:val="00960BAB"/>
    <w:rsid w:val="00962436"/>
    <w:rsid w:val="00964469"/>
    <w:rsid w:val="0096706E"/>
    <w:rsid w:val="00974491"/>
    <w:rsid w:val="00975C4E"/>
    <w:rsid w:val="00981FBA"/>
    <w:rsid w:val="009846AE"/>
    <w:rsid w:val="00984AAF"/>
    <w:rsid w:val="00997BC5"/>
    <w:rsid w:val="009A4F41"/>
    <w:rsid w:val="009B381B"/>
    <w:rsid w:val="009C2FC5"/>
    <w:rsid w:val="009D1753"/>
    <w:rsid w:val="009D4D24"/>
    <w:rsid w:val="009D5688"/>
    <w:rsid w:val="009D6502"/>
    <w:rsid w:val="009D7611"/>
    <w:rsid w:val="009D78A5"/>
    <w:rsid w:val="009E08DD"/>
    <w:rsid w:val="009E0B61"/>
    <w:rsid w:val="009E53DE"/>
    <w:rsid w:val="009E7C00"/>
    <w:rsid w:val="00A0597B"/>
    <w:rsid w:val="00A0691C"/>
    <w:rsid w:val="00A11E44"/>
    <w:rsid w:val="00A1488D"/>
    <w:rsid w:val="00A154C8"/>
    <w:rsid w:val="00A22397"/>
    <w:rsid w:val="00A30410"/>
    <w:rsid w:val="00A32313"/>
    <w:rsid w:val="00A328B3"/>
    <w:rsid w:val="00A36D5E"/>
    <w:rsid w:val="00A50FCF"/>
    <w:rsid w:val="00A528D1"/>
    <w:rsid w:val="00A52C4D"/>
    <w:rsid w:val="00A55F90"/>
    <w:rsid w:val="00A610CD"/>
    <w:rsid w:val="00A625E0"/>
    <w:rsid w:val="00A74947"/>
    <w:rsid w:val="00A758AA"/>
    <w:rsid w:val="00A92093"/>
    <w:rsid w:val="00A94B46"/>
    <w:rsid w:val="00AA09A2"/>
    <w:rsid w:val="00AA7996"/>
    <w:rsid w:val="00AC19CB"/>
    <w:rsid w:val="00AD1886"/>
    <w:rsid w:val="00AE5488"/>
    <w:rsid w:val="00AE6F91"/>
    <w:rsid w:val="00AF5571"/>
    <w:rsid w:val="00B04CB8"/>
    <w:rsid w:val="00B06B4E"/>
    <w:rsid w:val="00B07341"/>
    <w:rsid w:val="00B145F7"/>
    <w:rsid w:val="00B202B5"/>
    <w:rsid w:val="00B25145"/>
    <w:rsid w:val="00B30539"/>
    <w:rsid w:val="00B314DB"/>
    <w:rsid w:val="00B31976"/>
    <w:rsid w:val="00B361F2"/>
    <w:rsid w:val="00B3718B"/>
    <w:rsid w:val="00B4503A"/>
    <w:rsid w:val="00B4632A"/>
    <w:rsid w:val="00B5067D"/>
    <w:rsid w:val="00B513AB"/>
    <w:rsid w:val="00B530F1"/>
    <w:rsid w:val="00B57297"/>
    <w:rsid w:val="00B57E0E"/>
    <w:rsid w:val="00B736AF"/>
    <w:rsid w:val="00B742BE"/>
    <w:rsid w:val="00B863B0"/>
    <w:rsid w:val="00B87359"/>
    <w:rsid w:val="00B97946"/>
    <w:rsid w:val="00BA276C"/>
    <w:rsid w:val="00BA5544"/>
    <w:rsid w:val="00BB2519"/>
    <w:rsid w:val="00BB306F"/>
    <w:rsid w:val="00BB391C"/>
    <w:rsid w:val="00BB3FBD"/>
    <w:rsid w:val="00BC2304"/>
    <w:rsid w:val="00BC6CD0"/>
    <w:rsid w:val="00BD4B89"/>
    <w:rsid w:val="00BD5922"/>
    <w:rsid w:val="00BD76D9"/>
    <w:rsid w:val="00BF02CB"/>
    <w:rsid w:val="00BF514A"/>
    <w:rsid w:val="00BF6FD8"/>
    <w:rsid w:val="00BF775D"/>
    <w:rsid w:val="00C03680"/>
    <w:rsid w:val="00C054DF"/>
    <w:rsid w:val="00C10AFC"/>
    <w:rsid w:val="00C21562"/>
    <w:rsid w:val="00C21762"/>
    <w:rsid w:val="00C21FEF"/>
    <w:rsid w:val="00C24543"/>
    <w:rsid w:val="00C256A2"/>
    <w:rsid w:val="00C35A26"/>
    <w:rsid w:val="00C51515"/>
    <w:rsid w:val="00C53910"/>
    <w:rsid w:val="00C55138"/>
    <w:rsid w:val="00C5660B"/>
    <w:rsid w:val="00C56854"/>
    <w:rsid w:val="00C5788A"/>
    <w:rsid w:val="00C66B72"/>
    <w:rsid w:val="00C725BE"/>
    <w:rsid w:val="00C87AC4"/>
    <w:rsid w:val="00C912BC"/>
    <w:rsid w:val="00C9567A"/>
    <w:rsid w:val="00CA48A3"/>
    <w:rsid w:val="00CB212D"/>
    <w:rsid w:val="00CB2660"/>
    <w:rsid w:val="00CC5E90"/>
    <w:rsid w:val="00CD046C"/>
    <w:rsid w:val="00CD0B9B"/>
    <w:rsid w:val="00CD186A"/>
    <w:rsid w:val="00CD764C"/>
    <w:rsid w:val="00CE076C"/>
    <w:rsid w:val="00CE5199"/>
    <w:rsid w:val="00CE66D5"/>
    <w:rsid w:val="00CF637A"/>
    <w:rsid w:val="00D059DE"/>
    <w:rsid w:val="00D05ABD"/>
    <w:rsid w:val="00D13FCE"/>
    <w:rsid w:val="00D17E8C"/>
    <w:rsid w:val="00D306D1"/>
    <w:rsid w:val="00D30800"/>
    <w:rsid w:val="00D34786"/>
    <w:rsid w:val="00D37BFC"/>
    <w:rsid w:val="00D42822"/>
    <w:rsid w:val="00D47A8E"/>
    <w:rsid w:val="00D47FCE"/>
    <w:rsid w:val="00D522F8"/>
    <w:rsid w:val="00D52D14"/>
    <w:rsid w:val="00D5393F"/>
    <w:rsid w:val="00D55256"/>
    <w:rsid w:val="00D56D93"/>
    <w:rsid w:val="00D64B51"/>
    <w:rsid w:val="00D712D3"/>
    <w:rsid w:val="00D71422"/>
    <w:rsid w:val="00D72DC6"/>
    <w:rsid w:val="00D73F5E"/>
    <w:rsid w:val="00D7558D"/>
    <w:rsid w:val="00D77503"/>
    <w:rsid w:val="00D81D92"/>
    <w:rsid w:val="00D839E1"/>
    <w:rsid w:val="00D86411"/>
    <w:rsid w:val="00D876F9"/>
    <w:rsid w:val="00D877B6"/>
    <w:rsid w:val="00D93A90"/>
    <w:rsid w:val="00DA7B5F"/>
    <w:rsid w:val="00DB08DB"/>
    <w:rsid w:val="00DB7322"/>
    <w:rsid w:val="00DC11E7"/>
    <w:rsid w:val="00DC7023"/>
    <w:rsid w:val="00DC769A"/>
    <w:rsid w:val="00DD061E"/>
    <w:rsid w:val="00DD12D8"/>
    <w:rsid w:val="00DD3D86"/>
    <w:rsid w:val="00DE12F0"/>
    <w:rsid w:val="00DF1EC4"/>
    <w:rsid w:val="00DF51E9"/>
    <w:rsid w:val="00E01943"/>
    <w:rsid w:val="00E01DF9"/>
    <w:rsid w:val="00E0340B"/>
    <w:rsid w:val="00E04A90"/>
    <w:rsid w:val="00E0551F"/>
    <w:rsid w:val="00E219C7"/>
    <w:rsid w:val="00E26CCA"/>
    <w:rsid w:val="00E277DF"/>
    <w:rsid w:val="00E27F56"/>
    <w:rsid w:val="00E4118C"/>
    <w:rsid w:val="00E43157"/>
    <w:rsid w:val="00E44275"/>
    <w:rsid w:val="00E461CE"/>
    <w:rsid w:val="00E54B56"/>
    <w:rsid w:val="00E720CA"/>
    <w:rsid w:val="00E74AC9"/>
    <w:rsid w:val="00E84EB5"/>
    <w:rsid w:val="00E85662"/>
    <w:rsid w:val="00E8789F"/>
    <w:rsid w:val="00E92747"/>
    <w:rsid w:val="00E97B71"/>
    <w:rsid w:val="00EA16AB"/>
    <w:rsid w:val="00EA3D34"/>
    <w:rsid w:val="00EA4CC0"/>
    <w:rsid w:val="00EB442E"/>
    <w:rsid w:val="00EB454D"/>
    <w:rsid w:val="00EC26E9"/>
    <w:rsid w:val="00EC72AB"/>
    <w:rsid w:val="00ED2F03"/>
    <w:rsid w:val="00ED549D"/>
    <w:rsid w:val="00ED76BE"/>
    <w:rsid w:val="00ED7968"/>
    <w:rsid w:val="00ED7F05"/>
    <w:rsid w:val="00EE00E9"/>
    <w:rsid w:val="00EE014D"/>
    <w:rsid w:val="00EE3466"/>
    <w:rsid w:val="00EF35AB"/>
    <w:rsid w:val="00EF4C44"/>
    <w:rsid w:val="00EF619B"/>
    <w:rsid w:val="00F00B55"/>
    <w:rsid w:val="00F02AD1"/>
    <w:rsid w:val="00F04591"/>
    <w:rsid w:val="00F06354"/>
    <w:rsid w:val="00F253CC"/>
    <w:rsid w:val="00F332EF"/>
    <w:rsid w:val="00F37106"/>
    <w:rsid w:val="00F519CF"/>
    <w:rsid w:val="00F52EAA"/>
    <w:rsid w:val="00F53168"/>
    <w:rsid w:val="00F56BA5"/>
    <w:rsid w:val="00F60648"/>
    <w:rsid w:val="00F60E22"/>
    <w:rsid w:val="00F63B39"/>
    <w:rsid w:val="00F81395"/>
    <w:rsid w:val="00F81887"/>
    <w:rsid w:val="00F81BB8"/>
    <w:rsid w:val="00F9059E"/>
    <w:rsid w:val="00F917D1"/>
    <w:rsid w:val="00F9342C"/>
    <w:rsid w:val="00F9653B"/>
    <w:rsid w:val="00F97B69"/>
    <w:rsid w:val="00FA56EA"/>
    <w:rsid w:val="00FB62CF"/>
    <w:rsid w:val="00FC0F4A"/>
    <w:rsid w:val="00FC134D"/>
    <w:rsid w:val="00FC3330"/>
    <w:rsid w:val="00FC3D6A"/>
    <w:rsid w:val="00FD2779"/>
    <w:rsid w:val="00FD3C3B"/>
    <w:rsid w:val="00FE07DD"/>
    <w:rsid w:val="00FE57B5"/>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1D31EE"/>
    <w:rPr>
      <w:b/>
      <w:bCs/>
    </w:rPr>
  </w:style>
  <w:style w:type="character" w:customStyle="1" w:styleId="footnotecharacters">
    <w:name w:val="footnotecharacters"/>
    <w:basedOn w:val="DefaultParagraphFont"/>
    <w:rsid w:val="00984AAF"/>
  </w:style>
  <w:style w:type="paragraph" w:styleId="Title">
    <w:name w:val="Title"/>
    <w:basedOn w:val="Normal"/>
    <w:link w:val="TitleChar"/>
    <w:uiPriority w:val="10"/>
    <w:qFormat/>
    <w:rsid w:val="00984A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TitleChar">
    <w:name w:val="Title Char"/>
    <w:basedOn w:val="DefaultParagraphFont"/>
    <w:link w:val="Title"/>
    <w:uiPriority w:val="10"/>
    <w:rsid w:val="00984AAF"/>
    <w:rPr>
      <w:rFonts w:eastAsia="Times New Roman"/>
      <w:sz w:val="24"/>
      <w:szCs w:val="24"/>
      <w:bdr w:val="none" w:sz="0" w:space="0" w:color="auto"/>
      <w:lang w:val="pt-BR" w:eastAsia="pt-BR"/>
    </w:rPr>
  </w:style>
  <w:style w:type="paragraph" w:styleId="NormalWeb">
    <w:name w:val="Normal (Web)"/>
    <w:basedOn w:val="Normal"/>
    <w:uiPriority w:val="99"/>
    <w:semiHidden/>
    <w:unhideWhenUsed/>
    <w:rsid w:val="004F05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295764">
      <w:bodyDiv w:val="1"/>
      <w:marLeft w:val="0"/>
      <w:marRight w:val="0"/>
      <w:marTop w:val="0"/>
      <w:marBottom w:val="0"/>
      <w:divBdr>
        <w:top w:val="none" w:sz="0" w:space="0" w:color="auto"/>
        <w:left w:val="none" w:sz="0" w:space="0" w:color="auto"/>
        <w:bottom w:val="none" w:sz="0" w:space="0" w:color="auto"/>
        <w:right w:val="none" w:sz="0" w:space="0" w:color="auto"/>
      </w:divBdr>
    </w:div>
    <w:div w:id="480117914">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234002227">
      <w:bodyDiv w:val="1"/>
      <w:marLeft w:val="0"/>
      <w:marRight w:val="0"/>
      <w:marTop w:val="0"/>
      <w:marBottom w:val="0"/>
      <w:divBdr>
        <w:top w:val="none" w:sz="0" w:space="0" w:color="auto"/>
        <w:left w:val="none" w:sz="0" w:space="0" w:color="auto"/>
        <w:bottom w:val="none" w:sz="0" w:space="0" w:color="auto"/>
        <w:right w:val="none" w:sz="0" w:space="0" w:color="auto"/>
      </w:divBdr>
      <w:divsChild>
        <w:div w:id="297996533">
          <w:marLeft w:val="0"/>
          <w:marRight w:val="0"/>
          <w:marTop w:val="0"/>
          <w:marBottom w:val="0"/>
          <w:divBdr>
            <w:top w:val="none" w:sz="0" w:space="0" w:color="auto"/>
            <w:left w:val="none" w:sz="0" w:space="0" w:color="auto"/>
            <w:bottom w:val="none" w:sz="0" w:space="0" w:color="auto"/>
            <w:right w:val="none" w:sz="0" w:space="0" w:color="auto"/>
          </w:divBdr>
        </w:div>
        <w:div w:id="226301185">
          <w:marLeft w:val="0"/>
          <w:marRight w:val="0"/>
          <w:marTop w:val="0"/>
          <w:marBottom w:val="0"/>
          <w:divBdr>
            <w:top w:val="none" w:sz="0" w:space="0" w:color="auto"/>
            <w:left w:val="none" w:sz="0" w:space="0" w:color="auto"/>
            <w:bottom w:val="none" w:sz="0" w:space="0" w:color="auto"/>
            <w:right w:val="none" w:sz="0" w:space="0" w:color="auto"/>
          </w:divBdr>
        </w:div>
        <w:div w:id="1315715875">
          <w:marLeft w:val="0"/>
          <w:marRight w:val="0"/>
          <w:marTop w:val="0"/>
          <w:marBottom w:val="0"/>
          <w:divBdr>
            <w:top w:val="none" w:sz="0" w:space="0" w:color="auto"/>
            <w:left w:val="none" w:sz="0" w:space="0" w:color="auto"/>
            <w:bottom w:val="none" w:sz="0" w:space="0" w:color="auto"/>
            <w:right w:val="none" w:sz="0" w:space="0" w:color="auto"/>
          </w:divBdr>
        </w:div>
        <w:div w:id="930432477">
          <w:marLeft w:val="0"/>
          <w:marRight w:val="0"/>
          <w:marTop w:val="0"/>
          <w:marBottom w:val="0"/>
          <w:divBdr>
            <w:top w:val="none" w:sz="0" w:space="0" w:color="auto"/>
            <w:left w:val="none" w:sz="0" w:space="0" w:color="auto"/>
            <w:bottom w:val="none" w:sz="0" w:space="0" w:color="auto"/>
            <w:right w:val="none" w:sz="0" w:space="0" w:color="auto"/>
          </w:divBdr>
        </w:div>
      </w:divsChild>
    </w:div>
    <w:div w:id="1238200701">
      <w:bodyDiv w:val="1"/>
      <w:marLeft w:val="0"/>
      <w:marRight w:val="0"/>
      <w:marTop w:val="0"/>
      <w:marBottom w:val="0"/>
      <w:divBdr>
        <w:top w:val="none" w:sz="0" w:space="0" w:color="auto"/>
        <w:left w:val="none" w:sz="0" w:space="0" w:color="auto"/>
        <w:bottom w:val="none" w:sz="0" w:space="0" w:color="auto"/>
        <w:right w:val="none" w:sz="0" w:space="0" w:color="auto"/>
      </w:divBdr>
    </w:div>
    <w:div w:id="1391687830">
      <w:bodyDiv w:val="1"/>
      <w:marLeft w:val="0"/>
      <w:marRight w:val="0"/>
      <w:marTop w:val="0"/>
      <w:marBottom w:val="0"/>
      <w:divBdr>
        <w:top w:val="none" w:sz="0" w:space="0" w:color="auto"/>
        <w:left w:val="none" w:sz="0" w:space="0" w:color="auto"/>
        <w:bottom w:val="none" w:sz="0" w:space="0" w:color="auto"/>
        <w:right w:val="none" w:sz="0" w:space="0" w:color="auto"/>
      </w:divBdr>
    </w:div>
    <w:div w:id="147136326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90093255">
      <w:bodyDiv w:val="1"/>
      <w:marLeft w:val="0"/>
      <w:marRight w:val="0"/>
      <w:marTop w:val="0"/>
      <w:marBottom w:val="0"/>
      <w:divBdr>
        <w:top w:val="none" w:sz="0" w:space="0" w:color="auto"/>
        <w:left w:val="none" w:sz="0" w:space="0" w:color="auto"/>
        <w:bottom w:val="none" w:sz="0" w:space="0" w:color="auto"/>
        <w:right w:val="none" w:sz="0" w:space="0" w:color="auto"/>
      </w:divBdr>
      <w:divsChild>
        <w:div w:id="1182672345">
          <w:marLeft w:val="0"/>
          <w:marRight w:val="0"/>
          <w:marTop w:val="0"/>
          <w:marBottom w:val="0"/>
          <w:divBdr>
            <w:top w:val="none" w:sz="0" w:space="0" w:color="auto"/>
            <w:left w:val="none" w:sz="0" w:space="0" w:color="auto"/>
            <w:bottom w:val="none" w:sz="0" w:space="0" w:color="auto"/>
            <w:right w:val="none" w:sz="0" w:space="0" w:color="auto"/>
          </w:divBdr>
          <w:divsChild>
            <w:div w:id="1017124851">
              <w:marLeft w:val="0"/>
              <w:marRight w:val="0"/>
              <w:marTop w:val="0"/>
              <w:marBottom w:val="0"/>
              <w:divBdr>
                <w:top w:val="none" w:sz="0" w:space="0" w:color="auto"/>
                <w:left w:val="none" w:sz="0" w:space="0" w:color="auto"/>
                <w:bottom w:val="none" w:sz="0" w:space="0" w:color="auto"/>
                <w:right w:val="none" w:sz="0" w:space="0" w:color="auto"/>
              </w:divBdr>
              <w:divsChild>
                <w:div w:id="2080440618">
                  <w:marLeft w:val="0"/>
                  <w:marRight w:val="0"/>
                  <w:marTop w:val="0"/>
                  <w:marBottom w:val="0"/>
                  <w:divBdr>
                    <w:top w:val="none" w:sz="0" w:space="0" w:color="auto"/>
                    <w:left w:val="none" w:sz="0" w:space="0" w:color="auto"/>
                    <w:bottom w:val="none" w:sz="0" w:space="0" w:color="auto"/>
                    <w:right w:val="none" w:sz="0" w:space="0" w:color="auto"/>
                  </w:divBdr>
                  <w:divsChild>
                    <w:div w:id="1223063133">
                      <w:marLeft w:val="0"/>
                      <w:marRight w:val="0"/>
                      <w:marTop w:val="0"/>
                      <w:marBottom w:val="0"/>
                      <w:divBdr>
                        <w:top w:val="none" w:sz="0" w:space="0" w:color="auto"/>
                        <w:left w:val="none" w:sz="0" w:space="0" w:color="auto"/>
                        <w:bottom w:val="none" w:sz="0" w:space="0" w:color="auto"/>
                        <w:right w:val="none" w:sz="0" w:space="0" w:color="auto"/>
                      </w:divBdr>
                      <w:divsChild>
                        <w:div w:id="155996791">
                          <w:marLeft w:val="0"/>
                          <w:marRight w:val="0"/>
                          <w:marTop w:val="0"/>
                          <w:marBottom w:val="0"/>
                          <w:divBdr>
                            <w:top w:val="none" w:sz="0" w:space="0" w:color="auto"/>
                            <w:left w:val="none" w:sz="0" w:space="0" w:color="auto"/>
                            <w:bottom w:val="none" w:sz="0" w:space="0" w:color="auto"/>
                            <w:right w:val="none" w:sz="0" w:space="0" w:color="auto"/>
                          </w:divBdr>
                          <w:divsChild>
                            <w:div w:id="1118838936">
                              <w:marLeft w:val="0"/>
                              <w:marRight w:val="0"/>
                              <w:marTop w:val="0"/>
                              <w:marBottom w:val="0"/>
                              <w:divBdr>
                                <w:top w:val="none" w:sz="0" w:space="0" w:color="auto"/>
                                <w:left w:val="none" w:sz="0" w:space="0" w:color="auto"/>
                                <w:bottom w:val="none" w:sz="0" w:space="0" w:color="auto"/>
                                <w:right w:val="none" w:sz="0" w:space="0" w:color="auto"/>
                              </w:divBdr>
                              <w:divsChild>
                                <w:div w:id="770395430">
                                  <w:marLeft w:val="0"/>
                                  <w:marRight w:val="0"/>
                                  <w:marTop w:val="0"/>
                                  <w:marBottom w:val="0"/>
                                  <w:divBdr>
                                    <w:top w:val="none" w:sz="0" w:space="0" w:color="auto"/>
                                    <w:left w:val="none" w:sz="0" w:space="0" w:color="auto"/>
                                    <w:bottom w:val="none" w:sz="0" w:space="0" w:color="auto"/>
                                    <w:right w:val="none" w:sz="0" w:space="0" w:color="auto"/>
                                  </w:divBdr>
                                  <w:divsChild>
                                    <w:div w:id="18000997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4310">
      <w:bodyDiv w:val="1"/>
      <w:marLeft w:val="0"/>
      <w:marRight w:val="0"/>
      <w:marTop w:val="0"/>
      <w:marBottom w:val="0"/>
      <w:divBdr>
        <w:top w:val="none" w:sz="0" w:space="0" w:color="auto"/>
        <w:left w:val="none" w:sz="0" w:space="0" w:color="auto"/>
        <w:bottom w:val="none" w:sz="0" w:space="0" w:color="auto"/>
        <w:right w:val="none" w:sz="0" w:space="0" w:color="auto"/>
      </w:divBdr>
    </w:div>
    <w:div w:id="2119833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7E996-5A8B-4037-8ADB-8C7DA6F9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2404</Words>
  <Characters>12361</Characters>
  <Application>Microsoft Office Word</Application>
  <DocSecurity>0</DocSecurity>
  <Lines>280</Lines>
  <Paragraphs>90</Paragraphs>
  <ScaleCrop>false</ScaleCrop>
  <Company/>
  <LinksUpToDate>false</LinksUpToDate>
  <CharactersWithSpaces>14675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106/20</dc:title>
  <dc:creator/>
  <cp:lastModifiedBy/>
  <cp:revision>1</cp:revision>
  <dcterms:created xsi:type="dcterms:W3CDTF">2020-06-26T13:39:00Z</dcterms:created>
  <dcterms:modified xsi:type="dcterms:W3CDTF">2020-06-26T13:40:00Z</dcterms:modified>
</cp:coreProperties>
</file>